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208280</wp:posOffset>
            </wp:positionH>
            <wp:positionV relativeFrom="page">
              <wp:posOffset>568960</wp:posOffset>
            </wp:positionV>
            <wp:extent cx="713232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7132320" cy="8255"/>
                    </a:xfrm>
                    <a:prstGeom prst="rect">
                      <a:avLst/>
                    </a:prstGeom>
                    <a:noFill/>
                  </pic:spPr>
                </pic:pic>
              </a:graphicData>
            </a:graphic>
          </wp:anchor>
        </w:drawing>
        <w:drawing>
          <wp:anchor simplePos="0" relativeHeight="251657728" behindDoc="1" locked="0" layoutInCell="0" allowOverlap="1">
            <wp:simplePos x="0" y="0"/>
            <wp:positionH relativeFrom="page">
              <wp:posOffset>208280</wp:posOffset>
            </wp:positionH>
            <wp:positionV relativeFrom="page">
              <wp:posOffset>586105</wp:posOffset>
            </wp:positionV>
            <wp:extent cx="713232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7132320" cy="8255"/>
                    </a:xfrm>
                    <a:prstGeom prst="rect">
                      <a:avLst/>
                    </a:prstGeom>
                    <a:noFill/>
                  </pic:spPr>
                </pic:pic>
              </a:graphicData>
            </a:graphic>
          </wp:anchor>
        </w:drawing>
        <w:t>UNITED STATES</w:t>
      </w:r>
    </w:p>
    <w:p>
      <w:pPr>
        <w:spacing w:after="0" w:line="3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132715</wp:posOffset>
            </wp:positionV>
            <wp:extent cx="1423035"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23035" cy="8255"/>
                    </a:xfrm>
                    <a:prstGeom prst="rect">
                      <a:avLst/>
                    </a:prstGeom>
                    <a:noFill/>
                  </pic:spPr>
                </pic:pic>
              </a:graphicData>
            </a:graphic>
          </wp:anchor>
        </w:drawing>
      </w:r>
    </w:p>
    <w:p>
      <w:pPr>
        <w:spacing w:after="0" w:line="33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165100</wp:posOffset>
            </wp:positionV>
            <wp:extent cx="1423035" cy="8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23035" cy="8890"/>
                    </a:xfrm>
                    <a:prstGeom prst="rect">
                      <a:avLst/>
                    </a:prstGeom>
                    <a:noFill/>
                  </pic:spPr>
                </pic:pic>
              </a:graphicData>
            </a:graphic>
          </wp:anchor>
        </w:drawing>
      </w:r>
    </w:p>
    <w:p>
      <w:pPr>
        <w:spacing w:after="0" w:line="38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15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Pursuant to Section 13 or 15(d) of the Securities Exchange Act of 1934</w:t>
      </w:r>
    </w:p>
    <w:p>
      <w:pPr>
        <w:spacing w:after="0" w:line="107" w:lineRule="exact"/>
        <w:rPr>
          <w:sz w:val="24"/>
          <w:szCs w:val="24"/>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Date of Report (Date of earliest event reported): October 30,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225425</wp:posOffset>
            </wp:positionV>
            <wp:extent cx="1423035"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23035" cy="8255"/>
                    </a:xfrm>
                    <a:prstGeom prst="rect">
                      <a:avLst/>
                    </a:prstGeom>
                    <a:noFill/>
                  </pic:spPr>
                </pic:pic>
              </a:graphicData>
            </a:graphic>
          </wp:anchor>
        </w:drawing>
      </w:r>
    </w:p>
    <w:p>
      <w:pPr>
        <w:spacing w:after="0" w:line="200" w:lineRule="exact"/>
        <w:rPr>
          <w:sz w:val="24"/>
          <w:szCs w:val="24"/>
          <w:color w:val="auto"/>
        </w:rPr>
      </w:pPr>
    </w:p>
    <w:p>
      <w:pPr>
        <w:spacing w:after="0" w:line="39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43"/>
          <w:szCs w:val="43"/>
          <w:b w:val="1"/>
          <w:bCs w:val="1"/>
          <w:color w:val="auto"/>
        </w:rPr>
        <w:t>MICROSTRATEGY INCORPORATED</w:t>
      </w:r>
    </w:p>
    <w:p>
      <w:pPr>
        <w:spacing w:after="0" w:line="9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250190</wp:posOffset>
            </wp:positionV>
            <wp:extent cx="1423035" cy="889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23035" cy="8890"/>
                    </a:xfrm>
                    <a:prstGeom prst="rect">
                      <a:avLst/>
                    </a:prstGeom>
                    <a:noFill/>
                  </pic:spPr>
                </pic:pic>
              </a:graphicData>
            </a:graphic>
          </wp:anchor>
        </w:drawing>
      </w:r>
    </w:p>
    <w:p>
      <w:pPr>
        <w:spacing w:after="0" w:line="200" w:lineRule="exact"/>
        <w:rPr>
          <w:sz w:val="24"/>
          <w:szCs w:val="24"/>
          <w:color w:val="auto"/>
        </w:rPr>
      </w:pPr>
    </w:p>
    <w:p>
      <w:pPr>
        <w:spacing w:after="0" w:line="381" w:lineRule="exact"/>
        <w:rPr>
          <w:sz w:val="24"/>
          <w:szCs w:val="24"/>
          <w:color w:val="auto"/>
        </w:rPr>
      </w:pPr>
    </w:p>
    <w:tbl>
      <w:tblPr>
        <w:tblLayout w:type="fixed"/>
        <w:tblInd w:w="1160" w:type="dxa"/>
        <w:tblCellMar>
          <w:top w:w="0" w:type="dxa"/>
          <w:left w:w="0" w:type="dxa"/>
          <w:bottom w:w="0" w:type="dxa"/>
          <w:right w:w="0" w:type="dxa"/>
        </w:tblCellMar>
      </w:tblPr>
      <w:tr>
        <w:trPr>
          <w:trHeight w:val="235"/>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8"/>
                <w:szCs w:val="18"/>
                <w:b w:val="1"/>
                <w:bCs w:val="1"/>
                <w:color w:val="auto"/>
                <w:w w:val="98"/>
              </w:rPr>
              <w:t>Delaware</w:t>
            </w:r>
          </w:p>
        </w:tc>
        <w:tc>
          <w:tcPr>
            <w:tcW w:w="3260" w:type="dxa"/>
            <w:vAlign w:val="bottom"/>
          </w:tcPr>
          <w:p>
            <w:pPr>
              <w:jc w:val="right"/>
              <w:ind w:right="1401"/>
              <w:spacing w:after="0"/>
              <w:rPr>
                <w:sz w:val="20"/>
                <w:szCs w:val="20"/>
                <w:color w:val="auto"/>
              </w:rPr>
            </w:pPr>
            <w:r>
              <w:rPr>
                <w:rFonts w:ascii="Times New Roman" w:cs="Times New Roman" w:eastAsia="Times New Roman" w:hAnsi="Times New Roman"/>
                <w:sz w:val="18"/>
                <w:szCs w:val="18"/>
                <w:b w:val="1"/>
                <w:bCs w:val="1"/>
                <w:color w:val="auto"/>
              </w:rPr>
              <w:t>0-24435</w:t>
            </w:r>
          </w:p>
        </w:tc>
        <w:tc>
          <w:tcPr>
            <w:tcW w:w="2040" w:type="dxa"/>
            <w:vAlign w:val="bottom"/>
          </w:tcPr>
          <w:p>
            <w:pPr>
              <w:jc w:val="right"/>
              <w:ind w:right="4"/>
              <w:spacing w:after="0"/>
              <w:rPr>
                <w:sz w:val="20"/>
                <w:szCs w:val="20"/>
                <w:color w:val="auto"/>
              </w:rPr>
            </w:pPr>
            <w:r>
              <w:rPr>
                <w:rFonts w:ascii="Times New Roman" w:cs="Times New Roman" w:eastAsia="Times New Roman" w:hAnsi="Times New Roman"/>
                <w:sz w:val="18"/>
                <w:szCs w:val="18"/>
                <w:b w:val="1"/>
                <w:bCs w:val="1"/>
                <w:color w:val="auto"/>
              </w:rPr>
              <w:t>51-0323571</w:t>
            </w:r>
          </w:p>
        </w:tc>
      </w:tr>
      <w:tr>
        <w:trPr>
          <w:trHeight w:val="149"/>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3"/>
                <w:szCs w:val="13"/>
                <w:b w:val="1"/>
                <w:bCs w:val="1"/>
                <w:color w:val="auto"/>
              </w:rPr>
              <w:t>(State or Other Jurisdiction</w:t>
            </w:r>
          </w:p>
        </w:tc>
        <w:tc>
          <w:tcPr>
            <w:tcW w:w="3260" w:type="dxa"/>
            <w:vAlign w:val="bottom"/>
          </w:tcPr>
          <w:p>
            <w:pPr>
              <w:jc w:val="center"/>
              <w:ind w:right="241"/>
              <w:spacing w:after="0"/>
              <w:rPr>
                <w:sz w:val="20"/>
                <w:szCs w:val="20"/>
                <w:color w:val="auto"/>
              </w:rPr>
            </w:pPr>
            <w:r>
              <w:rPr>
                <w:rFonts w:ascii="Times New Roman" w:cs="Times New Roman" w:eastAsia="Times New Roman" w:hAnsi="Times New Roman"/>
                <w:sz w:val="13"/>
                <w:szCs w:val="13"/>
                <w:b w:val="1"/>
                <w:bCs w:val="1"/>
                <w:color w:val="auto"/>
              </w:rPr>
              <w:t>(Commission File Number)</w:t>
            </w:r>
          </w:p>
        </w:tc>
        <w:tc>
          <w:tcPr>
            <w:tcW w:w="2040" w:type="dxa"/>
            <w:vAlign w:val="bottom"/>
          </w:tcPr>
          <w:p>
            <w:pPr>
              <w:jc w:val="center"/>
              <w:ind w:left="924"/>
              <w:spacing w:after="0"/>
              <w:rPr>
                <w:sz w:val="20"/>
                <w:szCs w:val="20"/>
                <w:color w:val="auto"/>
              </w:rPr>
            </w:pPr>
            <w:r>
              <w:rPr>
                <w:rFonts w:ascii="Times New Roman" w:cs="Times New Roman" w:eastAsia="Times New Roman" w:hAnsi="Times New Roman"/>
                <w:sz w:val="13"/>
                <w:szCs w:val="13"/>
                <w:b w:val="1"/>
                <w:bCs w:val="1"/>
                <w:color w:val="auto"/>
              </w:rPr>
              <w:t>(IRS Employer</w:t>
            </w:r>
          </w:p>
        </w:tc>
      </w:tr>
      <w:tr>
        <w:trPr>
          <w:trHeight w:val="178"/>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3"/>
                <w:szCs w:val="13"/>
                <w:b w:val="1"/>
                <w:bCs w:val="1"/>
                <w:color w:val="auto"/>
              </w:rPr>
              <w:t>of Incorporation)</w:t>
            </w:r>
          </w:p>
        </w:tc>
        <w:tc>
          <w:tcPr>
            <w:tcW w:w="3260" w:type="dxa"/>
            <w:vAlign w:val="bottom"/>
          </w:tcPr>
          <w:p>
            <w:pPr>
              <w:spacing w:after="0"/>
              <w:rPr>
                <w:sz w:val="15"/>
                <w:szCs w:val="15"/>
                <w:color w:val="auto"/>
              </w:rPr>
            </w:pPr>
          </w:p>
        </w:tc>
        <w:tc>
          <w:tcPr>
            <w:tcW w:w="2040" w:type="dxa"/>
            <w:vAlign w:val="bottom"/>
          </w:tcPr>
          <w:p>
            <w:pPr>
              <w:jc w:val="center"/>
              <w:ind w:left="904"/>
              <w:spacing w:after="0"/>
              <w:rPr>
                <w:sz w:val="20"/>
                <w:szCs w:val="20"/>
                <w:color w:val="auto"/>
              </w:rPr>
            </w:pPr>
            <w:r>
              <w:rPr>
                <w:rFonts w:ascii="Times New Roman" w:cs="Times New Roman" w:eastAsia="Times New Roman" w:hAnsi="Times New Roman"/>
                <w:sz w:val="13"/>
                <w:szCs w:val="13"/>
                <w:b w:val="1"/>
                <w:bCs w:val="1"/>
                <w:color w:val="auto"/>
              </w:rPr>
              <w:t>Identification No.)</w:t>
            </w:r>
          </w:p>
        </w:tc>
      </w:tr>
      <w:tr>
        <w:trPr>
          <w:trHeight w:val="437"/>
        </w:trPr>
        <w:tc>
          <w:tcPr>
            <w:tcW w:w="3000" w:type="dxa"/>
            <w:vAlign w:val="bottom"/>
          </w:tcPr>
          <w:p>
            <w:pPr>
              <w:jc w:val="center"/>
              <w:ind w:right="621"/>
              <w:spacing w:after="0"/>
              <w:rPr>
                <w:sz w:val="20"/>
                <w:szCs w:val="20"/>
                <w:color w:val="auto"/>
              </w:rPr>
            </w:pPr>
            <w:r>
              <w:rPr>
                <w:rFonts w:ascii="Times New Roman" w:cs="Times New Roman" w:eastAsia="Times New Roman" w:hAnsi="Times New Roman"/>
                <w:sz w:val="18"/>
                <w:szCs w:val="18"/>
                <w:b w:val="1"/>
                <w:bCs w:val="1"/>
                <w:color w:val="auto"/>
                <w:w w:val="98"/>
              </w:rPr>
              <w:t>1850 Towers Crescent Plaza</w:t>
            </w:r>
          </w:p>
        </w:tc>
        <w:tc>
          <w:tcPr>
            <w:tcW w:w="3260" w:type="dxa"/>
            <w:vAlign w:val="bottom"/>
          </w:tcPr>
          <w:p>
            <w:pPr>
              <w:spacing w:after="0"/>
              <w:rPr>
                <w:sz w:val="24"/>
                <w:szCs w:val="24"/>
                <w:color w:val="auto"/>
              </w:rPr>
            </w:pPr>
          </w:p>
        </w:tc>
        <w:tc>
          <w:tcPr>
            <w:tcW w:w="2040" w:type="dxa"/>
            <w:vAlign w:val="bottom"/>
          </w:tcPr>
          <w:p>
            <w:pPr>
              <w:spacing w:after="0"/>
              <w:rPr>
                <w:sz w:val="24"/>
                <w:szCs w:val="24"/>
                <w:color w:val="auto"/>
              </w:rPr>
            </w:pPr>
          </w:p>
        </w:tc>
      </w:tr>
      <w:tr>
        <w:trPr>
          <w:trHeight w:val="235"/>
        </w:trPr>
        <w:tc>
          <w:tcPr>
            <w:tcW w:w="3000" w:type="dxa"/>
            <w:vAlign w:val="bottom"/>
          </w:tcPr>
          <w:p>
            <w:pPr>
              <w:jc w:val="center"/>
              <w:ind w:right="621"/>
              <w:spacing w:after="0"/>
              <w:rPr>
                <w:sz w:val="20"/>
                <w:szCs w:val="20"/>
                <w:color w:val="auto"/>
              </w:rPr>
            </w:pPr>
            <w:r>
              <w:rPr>
                <w:rFonts w:ascii="Times New Roman" w:cs="Times New Roman" w:eastAsia="Times New Roman" w:hAnsi="Times New Roman"/>
                <w:sz w:val="18"/>
                <w:szCs w:val="18"/>
                <w:b w:val="1"/>
                <w:bCs w:val="1"/>
                <w:color w:val="auto"/>
                <w:w w:val="99"/>
              </w:rPr>
              <w:t>Tysons Corner, Virginia</w:t>
            </w:r>
          </w:p>
        </w:tc>
        <w:tc>
          <w:tcPr>
            <w:tcW w:w="3260" w:type="dxa"/>
            <w:vAlign w:val="bottom"/>
          </w:tcPr>
          <w:p>
            <w:pPr>
              <w:spacing w:after="0"/>
              <w:rPr>
                <w:sz w:val="20"/>
                <w:szCs w:val="20"/>
                <w:color w:val="auto"/>
              </w:rPr>
            </w:pPr>
          </w:p>
        </w:tc>
        <w:tc>
          <w:tcPr>
            <w:tcW w:w="2040" w:type="dxa"/>
            <w:vAlign w:val="bottom"/>
          </w:tcPr>
          <w:p>
            <w:pPr>
              <w:jc w:val="right"/>
              <w:ind w:right="224"/>
              <w:spacing w:after="0"/>
              <w:rPr>
                <w:sz w:val="20"/>
                <w:szCs w:val="20"/>
                <w:color w:val="auto"/>
              </w:rPr>
            </w:pPr>
            <w:r>
              <w:rPr>
                <w:rFonts w:ascii="Times New Roman" w:cs="Times New Roman" w:eastAsia="Times New Roman" w:hAnsi="Times New Roman"/>
                <w:sz w:val="18"/>
                <w:szCs w:val="18"/>
                <w:b w:val="1"/>
                <w:bCs w:val="1"/>
                <w:color w:val="auto"/>
              </w:rPr>
              <w:t>22182</w:t>
            </w:r>
          </w:p>
        </w:tc>
      </w:tr>
      <w:tr>
        <w:trPr>
          <w:trHeight w:val="178"/>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3"/>
                <w:szCs w:val="13"/>
                <w:b w:val="1"/>
                <w:bCs w:val="1"/>
                <w:color w:val="auto"/>
              </w:rPr>
              <w:t>(Address of Principal Executive Offices)</w:t>
            </w:r>
          </w:p>
        </w:tc>
        <w:tc>
          <w:tcPr>
            <w:tcW w:w="3260" w:type="dxa"/>
            <w:vAlign w:val="bottom"/>
          </w:tcPr>
          <w:p>
            <w:pPr>
              <w:spacing w:after="0"/>
              <w:rPr>
                <w:sz w:val="15"/>
                <w:szCs w:val="15"/>
                <w:color w:val="auto"/>
              </w:rPr>
            </w:pPr>
          </w:p>
        </w:tc>
        <w:tc>
          <w:tcPr>
            <w:tcW w:w="2040" w:type="dxa"/>
            <w:vAlign w:val="bottom"/>
          </w:tcPr>
          <w:p>
            <w:pPr>
              <w:jc w:val="center"/>
              <w:ind w:left="924"/>
              <w:spacing w:after="0"/>
              <w:rPr>
                <w:sz w:val="20"/>
                <w:szCs w:val="20"/>
                <w:color w:val="auto"/>
              </w:rPr>
            </w:pPr>
            <w:r>
              <w:rPr>
                <w:rFonts w:ascii="Times New Roman" w:cs="Times New Roman" w:eastAsia="Times New Roman" w:hAnsi="Times New Roman"/>
                <w:sz w:val="13"/>
                <w:szCs w:val="13"/>
                <w:b w:val="1"/>
                <w:bCs w:val="1"/>
                <w:color w:val="auto"/>
              </w:rPr>
              <w:t>(Zip Code)</w:t>
            </w:r>
          </w:p>
        </w:tc>
      </w:tr>
    </w:tbl>
    <w:p>
      <w:pPr>
        <w:spacing w:after="0" w:line="200" w:lineRule="exact"/>
        <w:rPr>
          <w:sz w:val="24"/>
          <w:szCs w:val="24"/>
          <w:color w:val="auto"/>
        </w:rPr>
      </w:pPr>
    </w:p>
    <w:p>
      <w:pPr>
        <w:spacing w:after="0" w:line="224" w:lineRule="exact"/>
        <w:rPr>
          <w:sz w:val="24"/>
          <w:szCs w:val="24"/>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00" w:lineRule="exact"/>
        <w:rPr>
          <w:sz w:val="24"/>
          <w:szCs w:val="24"/>
          <w:color w:val="auto"/>
        </w:rPr>
      </w:pPr>
    </w:p>
    <w:p>
      <w:pPr>
        <w:spacing w:after="0" w:line="200" w:lineRule="exact"/>
        <w:rPr>
          <w:sz w:val="24"/>
          <w:szCs w:val="24"/>
          <w:color w:val="auto"/>
        </w:rPr>
      </w:pPr>
    </w:p>
    <w:p>
      <w:pPr>
        <w:spacing w:after="0" w:line="236"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258445</wp:posOffset>
            </wp:positionV>
            <wp:extent cx="1423035" cy="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23035" cy="8890"/>
                    </a:xfrm>
                    <a:prstGeom prst="rect">
                      <a:avLst/>
                    </a:prstGeom>
                    <a:noFill/>
                  </pic:spPr>
                </pic:pic>
              </a:graphicData>
            </a:graphic>
          </wp:anchor>
        </w:drawing>
      </w:r>
    </w:p>
    <w:p>
      <w:pPr>
        <w:spacing w:after="0" w:line="200" w:lineRule="exact"/>
        <w:rPr>
          <w:sz w:val="24"/>
          <w:szCs w:val="24"/>
          <w:color w:val="auto"/>
        </w:rPr>
      </w:pPr>
    </w:p>
    <w:p>
      <w:pPr>
        <w:spacing w:after="0" w:line="344" w:lineRule="exact"/>
        <w:rPr>
          <w:sz w:val="24"/>
          <w:szCs w:val="24"/>
          <w:color w:val="auto"/>
        </w:rPr>
      </w:pPr>
    </w:p>
    <w:p>
      <w:pPr>
        <w:ind w:right="6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w:t>
      </w:r>
    </w:p>
    <w:p>
      <w:pPr>
        <w:spacing w:after="0" w:line="108" w:lineRule="exact"/>
        <w:rPr>
          <w:sz w:val="24"/>
          <w:szCs w:val="24"/>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17" w:lineRule="exact"/>
        <w:rPr>
          <w:rFonts w:ascii="MS PGothic" w:cs="MS PGothic" w:eastAsia="MS PGothic" w:hAnsi="MS PGothic"/>
          <w:sz w:val="18"/>
          <w:szCs w:val="18"/>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17" w:lineRule="exact"/>
        <w:rPr>
          <w:rFonts w:ascii="MS PGothic" w:cs="MS PGothic" w:eastAsia="MS PGothic" w:hAnsi="MS PGothic"/>
          <w:sz w:val="18"/>
          <w:szCs w:val="18"/>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17" w:lineRule="exact"/>
        <w:rPr>
          <w:rFonts w:ascii="MS PGothic" w:cs="MS PGothic" w:eastAsia="MS PGothic" w:hAnsi="MS PGothic"/>
          <w:sz w:val="18"/>
          <w:szCs w:val="18"/>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6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Securities registered pursuant to Section 12(b) of the Act:</w:t>
      </w:r>
    </w:p>
    <w:p>
      <w:pPr>
        <w:spacing w:after="0" w:line="171" w:lineRule="exact"/>
        <w:rPr>
          <w:sz w:val="24"/>
          <w:szCs w:val="24"/>
          <w:color w:val="auto"/>
        </w:rPr>
      </w:pPr>
    </w:p>
    <w:tbl>
      <w:tblPr>
        <w:tblLayout w:type="fixed"/>
        <w:tblInd w:w="0" w:type="dxa"/>
        <w:tblCellMar>
          <w:top w:w="0" w:type="dxa"/>
          <w:left w:w="0" w:type="dxa"/>
          <w:bottom w:w="0" w:type="dxa"/>
          <w:right w:w="0" w:type="dxa"/>
        </w:tblCellMar>
      </w:tblPr>
      <w:tr>
        <w:trPr>
          <w:trHeight w:val="216"/>
        </w:trPr>
        <w:tc>
          <w:tcPr>
            <w:tcW w:w="428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1680" w:type="dxa"/>
            <w:vAlign w:val="bottom"/>
          </w:tcPr>
          <w:p>
            <w:pPr>
              <w:jc w:val="center"/>
              <w:spacing w:after="0"/>
              <w:rPr>
                <w:sz w:val="20"/>
                <w:szCs w:val="20"/>
                <w:color w:val="auto"/>
              </w:rPr>
            </w:pPr>
            <w:r>
              <w:rPr>
                <w:rFonts w:ascii="Times New Roman" w:cs="Times New Roman" w:eastAsia="Times New Roman" w:hAnsi="Times New Roman"/>
                <w:sz w:val="18"/>
                <w:szCs w:val="18"/>
                <w:b w:val="1"/>
                <w:bCs w:val="1"/>
                <w:color w:val="auto"/>
                <w:w w:val="98"/>
              </w:rPr>
              <w:t>Trading</w:t>
            </w:r>
          </w:p>
        </w:tc>
        <w:tc>
          <w:tcPr>
            <w:tcW w:w="120" w:type="dxa"/>
            <w:vAlign w:val="bottom"/>
          </w:tcPr>
          <w:p>
            <w:pPr>
              <w:spacing w:after="0"/>
              <w:rPr>
                <w:sz w:val="18"/>
                <w:szCs w:val="18"/>
                <w:color w:val="auto"/>
              </w:rPr>
            </w:pPr>
          </w:p>
        </w:tc>
        <w:tc>
          <w:tcPr>
            <w:tcW w:w="5040" w:type="dxa"/>
            <w:vAlign w:val="bottom"/>
          </w:tcPr>
          <w:p>
            <w:pPr>
              <w:spacing w:after="0"/>
              <w:rPr>
                <w:sz w:val="18"/>
                <w:szCs w:val="18"/>
                <w:color w:val="auto"/>
              </w:rPr>
            </w:pPr>
          </w:p>
        </w:tc>
      </w:tr>
      <w:tr>
        <w:trPr>
          <w:trHeight w:val="245"/>
        </w:trPr>
        <w:tc>
          <w:tcPr>
            <w:tcW w:w="42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b w:val="1"/>
                <w:bCs w:val="1"/>
                <w:color w:val="auto"/>
                <w:w w:val="98"/>
              </w:rPr>
              <w:t>Title of each class</w:t>
            </w:r>
          </w:p>
        </w:tc>
        <w:tc>
          <w:tcPr>
            <w:tcW w:w="120" w:type="dxa"/>
            <w:vAlign w:val="bottom"/>
          </w:tcPr>
          <w:p>
            <w:pPr>
              <w:spacing w:after="0"/>
              <w:rPr>
                <w:sz w:val="21"/>
                <w:szCs w:val="21"/>
                <w:color w:val="auto"/>
              </w:rPr>
            </w:pPr>
          </w:p>
        </w:tc>
        <w:tc>
          <w:tcPr>
            <w:tcW w:w="16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b w:val="1"/>
                <w:bCs w:val="1"/>
                <w:color w:val="auto"/>
              </w:rPr>
              <w:t>Symbol(s)</w:t>
            </w:r>
          </w:p>
        </w:tc>
        <w:tc>
          <w:tcPr>
            <w:tcW w:w="120" w:type="dxa"/>
            <w:vAlign w:val="bottom"/>
          </w:tcPr>
          <w:p>
            <w:pPr>
              <w:spacing w:after="0"/>
              <w:rPr>
                <w:sz w:val="21"/>
                <w:szCs w:val="21"/>
                <w:color w:val="auto"/>
              </w:rPr>
            </w:pPr>
          </w:p>
        </w:tc>
        <w:tc>
          <w:tcPr>
            <w:tcW w:w="50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b w:val="1"/>
                <w:bCs w:val="1"/>
                <w:color w:val="auto"/>
                <w:w w:val="99"/>
              </w:rPr>
              <w:t>Name of each exchange on which registered</w:t>
            </w:r>
          </w:p>
        </w:tc>
      </w:tr>
      <w:tr>
        <w:trPr>
          <w:trHeight w:val="234"/>
        </w:trPr>
        <w:tc>
          <w:tcPr>
            <w:tcW w:w="428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Class A common stock, par value $0.001 per share</w:t>
            </w:r>
          </w:p>
        </w:tc>
        <w:tc>
          <w:tcPr>
            <w:tcW w:w="120" w:type="dxa"/>
            <w:vAlign w:val="bottom"/>
          </w:tcPr>
          <w:p>
            <w:pPr>
              <w:spacing w:after="0"/>
              <w:rPr>
                <w:sz w:val="20"/>
                <w:szCs w:val="20"/>
                <w:color w:val="auto"/>
              </w:rPr>
            </w:pPr>
          </w:p>
        </w:tc>
        <w:tc>
          <w:tcPr>
            <w:tcW w:w="168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MSTR</w:t>
            </w:r>
          </w:p>
        </w:tc>
        <w:tc>
          <w:tcPr>
            <w:tcW w:w="120" w:type="dxa"/>
            <w:vAlign w:val="bottom"/>
          </w:tcPr>
          <w:p>
            <w:pPr>
              <w:spacing w:after="0"/>
              <w:rPr>
                <w:sz w:val="20"/>
                <w:szCs w:val="20"/>
                <w:color w:val="auto"/>
              </w:rPr>
            </w:pPr>
          </w:p>
        </w:tc>
        <w:tc>
          <w:tcPr>
            <w:tcW w:w="5040" w:type="dxa"/>
            <w:vAlign w:val="bottom"/>
          </w:tcPr>
          <w:p>
            <w:pPr>
              <w:jc w:val="center"/>
              <w:spacing w:after="0"/>
              <w:rPr>
                <w:sz w:val="20"/>
                <w:szCs w:val="20"/>
                <w:color w:val="auto"/>
              </w:rPr>
            </w:pPr>
            <w:r>
              <w:rPr>
                <w:rFonts w:ascii="Times New Roman" w:cs="Times New Roman" w:eastAsia="Times New Roman" w:hAnsi="Times New Roman"/>
                <w:sz w:val="18"/>
                <w:szCs w:val="18"/>
                <w:color w:val="auto"/>
                <w:w w:val="99"/>
              </w:rPr>
              <w:t>The Nasdaq Global Select Market</w:t>
            </w:r>
          </w:p>
        </w:tc>
      </w:tr>
    </w:tbl>
    <w:p>
      <w:pPr>
        <w:spacing w:after="0" w:line="193"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 230.405 of this chapter) or Rule 12b-2 of the Securities Exchange Act of 1934 (§ 240.12b-2 of this chapter).</w:t>
      </w:r>
    </w:p>
    <w:p>
      <w:pPr>
        <w:spacing w:after="0" w:line="67"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12" w:lineRule="exact"/>
        <w:rPr>
          <w:sz w:val="24"/>
          <w:szCs w:val="24"/>
          <w:color w:val="auto"/>
        </w:rPr>
      </w:pPr>
    </w:p>
    <w:p>
      <w:pPr>
        <w:ind w:right="16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5080</wp:posOffset>
            </wp:positionH>
            <wp:positionV relativeFrom="paragraph">
              <wp:posOffset>120015</wp:posOffset>
            </wp:positionV>
            <wp:extent cx="713232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7132320" cy="825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137160</wp:posOffset>
            </wp:positionV>
            <wp:extent cx="713232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7132320" cy="8890"/>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612775</wp:posOffset>
            </wp:positionV>
            <wp:extent cx="7157720" cy="4254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13" w:right="339" w:bottom="1440" w:gutter="0" w:footer="0" w:header="0"/>
        </w:sectPr>
      </w:pPr>
    </w:p>
    <w:bookmarkStart w:id="1" w:name="page2"/>
    <w:bookmarkEnd w:id="1"/>
    <w:p>
      <w:pPr>
        <w:ind w:left="20"/>
        <w:spacing w:after="0"/>
        <w:tabs>
          <w:tab w:leader="none" w:pos="1240" w:val="left"/>
        </w:tabs>
        <w:rPr>
          <w:sz w:val="20"/>
          <w:szCs w:val="20"/>
          <w:color w:val="auto"/>
        </w:rPr>
      </w:pPr>
      <w:r>
        <w:rPr>
          <w:rFonts w:ascii="Times New Roman" w:cs="Times New Roman" w:eastAsia="Times New Roman" w:hAnsi="Times New Roman"/>
          <w:sz w:val="18"/>
          <w:szCs w:val="18"/>
          <w:b w:val="1"/>
          <w:bCs w:val="1"/>
          <w:color w:val="auto"/>
        </w:rPr>
        <w:t>Item 2.02.</w:t>
      </w:r>
      <w:r>
        <w:rPr>
          <w:sz w:val="20"/>
          <w:szCs w:val="20"/>
          <w:color w:val="auto"/>
        </w:rPr>
        <w:tab/>
      </w:r>
      <w:r>
        <w:rPr>
          <w:rFonts w:ascii="Times New Roman" w:cs="Times New Roman" w:eastAsia="Times New Roman" w:hAnsi="Times New Roman"/>
          <w:sz w:val="17"/>
          <w:szCs w:val="17"/>
          <w:b w:val="1"/>
          <w:bCs w:val="1"/>
          <w:color w:val="auto"/>
        </w:rPr>
        <w:t>Results of Operations and Financial Condition.</w:t>
      </w:r>
    </w:p>
    <w:p>
      <w:pPr>
        <w:spacing w:after="0" w:line="135"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On October 30, 2024, MicroStrategy Incorporated (the “Company”) issued a press release announcing the Company’s financial results for the quarter ended September 30, 2024. A copy of this press release is attached as Exhibit 99.1 to this Current Report on Form 8-K.</w:t>
      </w:r>
    </w:p>
    <w:p>
      <w:pPr>
        <w:spacing w:after="0" w:line="162"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The information disclosed pursuant to Item 2.02 in this Current Report on Form 8-K (including Exhibit 99.1)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pacing w:after="0" w:line="176" w:lineRule="exact"/>
        <w:rPr>
          <w:sz w:val="20"/>
          <w:szCs w:val="20"/>
          <w:color w:val="auto"/>
        </w:rPr>
      </w:pPr>
    </w:p>
    <w:p>
      <w:pPr>
        <w:ind w:left="20"/>
        <w:spacing w:after="0"/>
        <w:tabs>
          <w:tab w:leader="none" w:pos="1240" w:val="left"/>
        </w:tabs>
        <w:rPr>
          <w:sz w:val="20"/>
          <w:szCs w:val="20"/>
          <w:color w:val="auto"/>
        </w:rPr>
      </w:pPr>
      <w:r>
        <w:rPr>
          <w:rFonts w:ascii="Times New Roman" w:cs="Times New Roman" w:eastAsia="Times New Roman" w:hAnsi="Times New Roman"/>
          <w:sz w:val="18"/>
          <w:szCs w:val="18"/>
          <w:b w:val="1"/>
          <w:bCs w:val="1"/>
          <w:color w:val="auto"/>
        </w:rPr>
        <w:t>Item 9.01.</w:t>
      </w:r>
      <w:r>
        <w:rPr>
          <w:sz w:val="20"/>
          <w:szCs w:val="20"/>
          <w:color w:val="auto"/>
        </w:rPr>
        <w:tab/>
      </w:r>
      <w:r>
        <w:rPr>
          <w:rFonts w:ascii="Times New Roman" w:cs="Times New Roman" w:eastAsia="Times New Roman" w:hAnsi="Times New Roman"/>
          <w:sz w:val="17"/>
          <w:szCs w:val="17"/>
          <w:b w:val="1"/>
          <w:bCs w:val="1"/>
          <w:color w:val="auto"/>
        </w:rPr>
        <w:t>Financial Statements and Exhibits.</w:t>
      </w:r>
    </w:p>
    <w:p>
      <w:pPr>
        <w:spacing w:after="0" w:line="135" w:lineRule="exact"/>
        <w:rPr>
          <w:sz w:val="20"/>
          <w:szCs w:val="20"/>
          <w:color w:val="auto"/>
        </w:rPr>
      </w:pPr>
    </w:p>
    <w:p>
      <w:pPr>
        <w:ind w:left="400" w:hanging="392"/>
        <w:spacing w:after="0"/>
        <w:tabs>
          <w:tab w:leader="none" w:pos="40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Exhibits</w:t>
      </w:r>
    </w:p>
    <w:p>
      <w:pPr>
        <w:spacing w:after="0" w:line="200" w:lineRule="exact"/>
        <w:rPr>
          <w:sz w:val="20"/>
          <w:szCs w:val="20"/>
          <w:color w:val="auto"/>
        </w:rPr>
      </w:pPr>
    </w:p>
    <w:p>
      <w:pPr>
        <w:spacing w:after="0" w:line="255"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20" w:type="dxa"/>
            <w:vAlign w:val="bottom"/>
          </w:tcPr>
          <w:p>
            <w:pPr>
              <w:spacing w:after="0"/>
              <w:rPr>
                <w:sz w:val="18"/>
                <w:szCs w:val="18"/>
                <w:color w:val="auto"/>
              </w:rPr>
            </w:pPr>
          </w:p>
        </w:tc>
        <w:tc>
          <w:tcPr>
            <w:tcW w:w="64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Exhibit</w:t>
            </w:r>
          </w:p>
        </w:tc>
        <w:tc>
          <w:tcPr>
            <w:tcW w:w="480" w:type="dxa"/>
            <w:vAlign w:val="bottom"/>
          </w:tcPr>
          <w:p>
            <w:pPr>
              <w:spacing w:after="0"/>
              <w:rPr>
                <w:sz w:val="18"/>
                <w:szCs w:val="18"/>
                <w:color w:val="auto"/>
              </w:rPr>
            </w:pPr>
          </w:p>
        </w:tc>
        <w:tc>
          <w:tcPr>
            <w:tcW w:w="8880" w:type="dxa"/>
            <w:vAlign w:val="bottom"/>
          </w:tcPr>
          <w:p>
            <w:pPr>
              <w:spacing w:after="0"/>
              <w:rPr>
                <w:sz w:val="18"/>
                <w:szCs w:val="18"/>
                <w:color w:val="auto"/>
              </w:rPr>
            </w:pPr>
          </w:p>
        </w:tc>
        <w:tc>
          <w:tcPr>
            <w:tcW w:w="1200" w:type="dxa"/>
            <w:vAlign w:val="bottom"/>
          </w:tcPr>
          <w:p>
            <w:pPr>
              <w:spacing w:after="0"/>
              <w:rPr>
                <w:sz w:val="18"/>
                <w:szCs w:val="18"/>
                <w:color w:val="auto"/>
              </w:rPr>
            </w:pPr>
          </w:p>
        </w:tc>
        <w:tc>
          <w:tcPr>
            <w:tcW w:w="20" w:type="dxa"/>
            <w:vAlign w:val="bottom"/>
          </w:tcPr>
          <w:p>
            <w:pPr>
              <w:spacing w:after="0"/>
              <w:rPr>
                <w:sz w:val="18"/>
                <w:szCs w:val="18"/>
                <w:color w:val="auto"/>
              </w:rPr>
            </w:pPr>
          </w:p>
        </w:tc>
      </w:tr>
      <w:tr>
        <w:trPr>
          <w:trHeight w:val="234"/>
        </w:trPr>
        <w:tc>
          <w:tcPr>
            <w:tcW w:w="20" w:type="dxa"/>
            <w:vAlign w:val="bottom"/>
          </w:tcPr>
          <w:p>
            <w:pPr>
              <w:spacing w:after="0"/>
              <w:rPr>
                <w:sz w:val="20"/>
                <w:szCs w:val="20"/>
                <w:color w:val="auto"/>
              </w:rPr>
            </w:pPr>
          </w:p>
        </w:tc>
        <w:tc>
          <w:tcPr>
            <w:tcW w:w="6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7"/>
              </w:rPr>
              <w:t>No.</w:t>
            </w:r>
          </w:p>
        </w:tc>
        <w:tc>
          <w:tcPr>
            <w:tcW w:w="480" w:type="dxa"/>
            <w:vAlign w:val="bottom"/>
          </w:tcPr>
          <w:p>
            <w:pPr>
              <w:spacing w:after="0"/>
              <w:rPr>
                <w:sz w:val="20"/>
                <w:szCs w:val="20"/>
                <w:color w:val="auto"/>
              </w:rPr>
            </w:pPr>
          </w:p>
        </w:tc>
        <w:tc>
          <w:tcPr>
            <w:tcW w:w="1008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8"/>
                <w:szCs w:val="18"/>
                <w:color w:val="auto"/>
              </w:rPr>
              <w:t>Description</w:t>
            </w:r>
          </w:p>
        </w:tc>
        <w:tc>
          <w:tcPr>
            <w:tcW w:w="20" w:type="dxa"/>
            <w:vAlign w:val="bottom"/>
          </w:tcPr>
          <w:p>
            <w:pPr>
              <w:spacing w:after="0"/>
              <w:rPr>
                <w:sz w:val="20"/>
                <w:szCs w:val="20"/>
                <w:color w:val="auto"/>
              </w:rPr>
            </w:pPr>
          </w:p>
        </w:tc>
      </w:tr>
      <w:tr>
        <w:trPr>
          <w:trHeight w:val="412"/>
        </w:trPr>
        <w:tc>
          <w:tcPr>
            <w:tcW w:w="66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99.1</w:t>
            </w:r>
          </w:p>
        </w:tc>
        <w:tc>
          <w:tcPr>
            <w:tcW w:w="480" w:type="dxa"/>
            <w:vAlign w:val="bottom"/>
          </w:tcPr>
          <w:p>
            <w:pPr>
              <w:spacing w:after="0"/>
              <w:rPr>
                <w:sz w:val="24"/>
                <w:szCs w:val="24"/>
                <w:color w:val="auto"/>
              </w:rPr>
            </w:pPr>
          </w:p>
        </w:tc>
        <w:tc>
          <w:tcPr>
            <w:tcW w:w="10080" w:type="dxa"/>
            <w:vAlign w:val="bottom"/>
            <w:gridSpan w:val="2"/>
          </w:tcPr>
          <w:p>
            <w:pPr>
              <w:spacing w:after="0"/>
              <w:rPr>
                <w:sz w:val="20"/>
                <w:szCs w:val="20"/>
                <w:color w:val="auto"/>
              </w:rPr>
            </w:pPr>
            <w:r>
              <w:rPr>
                <w:rFonts w:ascii="Times New Roman" w:cs="Times New Roman" w:eastAsia="Times New Roman" w:hAnsi="Times New Roman"/>
                <w:sz w:val="18"/>
                <w:szCs w:val="18"/>
                <w:color w:val="0000FF"/>
              </w:rPr>
              <w:t>Press release, dated October 30, 2024, regarding the Company’s financial results for the quarter ended September 30, 2024.</w:t>
            </w:r>
          </w:p>
        </w:tc>
        <w:tc>
          <w:tcPr>
            <w:tcW w:w="20" w:type="dxa"/>
            <w:vAlign w:val="bottom"/>
          </w:tcPr>
          <w:p>
            <w:pPr>
              <w:spacing w:after="0"/>
              <w:rPr>
                <w:sz w:val="24"/>
                <w:szCs w:val="24"/>
                <w:color w:val="auto"/>
              </w:rPr>
            </w:pPr>
          </w:p>
        </w:tc>
      </w:tr>
      <w:tr>
        <w:trPr>
          <w:trHeight w:val="480"/>
        </w:trPr>
        <w:tc>
          <w:tcPr>
            <w:tcW w:w="66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104</w:t>
            </w:r>
          </w:p>
        </w:tc>
        <w:tc>
          <w:tcPr>
            <w:tcW w:w="480" w:type="dxa"/>
            <w:vAlign w:val="bottom"/>
          </w:tcPr>
          <w:p>
            <w:pPr>
              <w:spacing w:after="0"/>
              <w:rPr>
                <w:sz w:val="24"/>
                <w:szCs w:val="24"/>
                <w:color w:val="auto"/>
              </w:rPr>
            </w:pPr>
          </w:p>
        </w:tc>
        <w:tc>
          <w:tcPr>
            <w:tcW w:w="8880" w:type="dxa"/>
            <w:vAlign w:val="bottom"/>
            <w:tcBorders>
              <w:top w:val="single" w:sz="8" w:color="0000FF"/>
            </w:tcBorders>
          </w:tcPr>
          <w:p>
            <w:pPr>
              <w:spacing w:after="0"/>
              <w:rPr>
                <w:sz w:val="20"/>
                <w:szCs w:val="20"/>
                <w:color w:val="auto"/>
              </w:rPr>
            </w:pPr>
            <w:r>
              <w:rPr>
                <w:rFonts w:ascii="Times New Roman" w:cs="Times New Roman" w:eastAsia="Times New Roman" w:hAnsi="Times New Roman"/>
                <w:sz w:val="18"/>
                <w:szCs w:val="18"/>
                <w:color w:val="auto"/>
              </w:rPr>
              <w:t>Cover Page Interactive Data File (embedded within the Inline XBRL document).</w:t>
            </w:r>
          </w:p>
        </w:tc>
        <w:tc>
          <w:tcPr>
            <w:tcW w:w="1200" w:type="dxa"/>
            <w:vAlign w:val="bottom"/>
          </w:tcPr>
          <w:p>
            <w:pPr>
              <w:spacing w:after="0"/>
              <w:rPr>
                <w:sz w:val="24"/>
                <w:szCs w:val="24"/>
                <w:color w:val="auto"/>
              </w:rPr>
            </w:pPr>
          </w:p>
        </w:tc>
        <w:tc>
          <w:tcPr>
            <w:tcW w:w="20" w:type="dxa"/>
            <w:vAlign w:val="bottom"/>
          </w:tcPr>
          <w:p>
            <w:pPr>
              <w:spacing w:after="0"/>
              <w:rPr>
                <w:sz w:val="24"/>
                <w:szCs w:val="24"/>
                <w:color w:val="auto"/>
              </w:rPr>
            </w:pPr>
          </w:p>
        </w:tc>
      </w:tr>
      <w:tr>
        <w:trPr>
          <w:trHeight w:val="1856"/>
        </w:trPr>
        <w:tc>
          <w:tcPr>
            <w:tcW w:w="20" w:type="dxa"/>
            <w:vAlign w:val="bottom"/>
            <w:tcBorders>
              <w:bottom w:val="single" w:sz="8" w:color="9A9A9A"/>
            </w:tcBorders>
          </w:tcPr>
          <w:p>
            <w:pPr>
              <w:spacing w:after="0"/>
              <w:rPr>
                <w:sz w:val="24"/>
                <w:szCs w:val="24"/>
                <w:color w:val="auto"/>
              </w:rPr>
            </w:pPr>
          </w:p>
        </w:tc>
        <w:tc>
          <w:tcPr>
            <w:tcW w:w="640" w:type="dxa"/>
            <w:vAlign w:val="bottom"/>
            <w:tcBorders>
              <w:bottom w:val="single" w:sz="8" w:color="9A9A9A"/>
            </w:tcBorders>
          </w:tcPr>
          <w:p>
            <w:pPr>
              <w:spacing w:after="0"/>
              <w:rPr>
                <w:sz w:val="24"/>
                <w:szCs w:val="24"/>
                <w:color w:val="auto"/>
              </w:rPr>
            </w:pPr>
          </w:p>
        </w:tc>
        <w:tc>
          <w:tcPr>
            <w:tcW w:w="480" w:type="dxa"/>
            <w:vAlign w:val="bottom"/>
            <w:tcBorders>
              <w:bottom w:val="single" w:sz="8" w:color="9A9A9A"/>
            </w:tcBorders>
          </w:tcPr>
          <w:p>
            <w:pPr>
              <w:spacing w:after="0"/>
              <w:rPr>
                <w:sz w:val="24"/>
                <w:szCs w:val="24"/>
                <w:color w:val="auto"/>
              </w:rPr>
            </w:pPr>
          </w:p>
        </w:tc>
        <w:tc>
          <w:tcPr>
            <w:tcW w:w="8880" w:type="dxa"/>
            <w:vAlign w:val="bottom"/>
            <w:tcBorders>
              <w:bottom w:val="single" w:sz="8" w:color="9A9A9A"/>
            </w:tcBorders>
          </w:tcPr>
          <w:p>
            <w:pPr>
              <w:spacing w:after="0"/>
              <w:rPr>
                <w:sz w:val="24"/>
                <w:szCs w:val="24"/>
                <w:color w:val="auto"/>
              </w:rPr>
            </w:pPr>
          </w:p>
        </w:tc>
        <w:tc>
          <w:tcPr>
            <w:tcW w:w="120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t>SIGNATURE</w:t>
      </w:r>
    </w:p>
    <w:p>
      <w:pPr>
        <w:spacing w:after="0" w:line="175" w:lineRule="exact"/>
        <w:rPr>
          <w:sz w:val="20"/>
          <w:szCs w:val="20"/>
          <w:color w:val="auto"/>
        </w:rPr>
      </w:pPr>
    </w:p>
    <w:p>
      <w:pPr>
        <w:ind w:right="2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21" w:lineRule="exact"/>
        <w:rPr>
          <w:sz w:val="20"/>
          <w:szCs w:val="20"/>
          <w:color w:val="auto"/>
        </w:rPr>
      </w:pPr>
    </w:p>
    <w:tbl>
      <w:tblPr>
        <w:tblLayout w:type="fixed"/>
        <w:tblInd w:w="0" w:type="dxa"/>
        <w:tblCellMar>
          <w:top w:w="0" w:type="dxa"/>
          <w:left w:w="0" w:type="dxa"/>
          <w:bottom w:w="0" w:type="dxa"/>
          <w:right w:w="0" w:type="dxa"/>
        </w:tblCellMar>
      </w:tblPr>
      <w:tr>
        <w:trPr>
          <w:trHeight w:val="230"/>
        </w:trPr>
        <w:tc>
          <w:tcPr>
            <w:tcW w:w="3800" w:type="dxa"/>
            <w:vAlign w:val="bottom"/>
          </w:tcPr>
          <w:p>
            <w:pPr>
              <w:spacing w:after="0"/>
              <w:rPr>
                <w:sz w:val="19"/>
                <w:szCs w:val="19"/>
                <w:color w:val="auto"/>
              </w:rPr>
            </w:pPr>
          </w:p>
        </w:tc>
        <w:tc>
          <w:tcPr>
            <w:tcW w:w="2280" w:type="dxa"/>
            <w:vAlign w:val="bottom"/>
          </w:tcPr>
          <w:p>
            <w:pPr>
              <w:spacing w:after="0"/>
              <w:rPr>
                <w:sz w:val="19"/>
                <w:szCs w:val="19"/>
                <w:color w:val="auto"/>
              </w:rPr>
            </w:pPr>
          </w:p>
        </w:tc>
        <w:tc>
          <w:tcPr>
            <w:tcW w:w="5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800" w:type="dxa"/>
            <w:vAlign w:val="bottom"/>
          </w:tcPr>
          <w:p>
            <w:pPr>
              <w:spacing w:after="0"/>
              <w:rPr>
                <w:sz w:val="20"/>
                <w:szCs w:val="20"/>
                <w:color w:val="auto"/>
              </w:rPr>
            </w:pPr>
          </w:p>
        </w:tc>
        <w:tc>
          <w:tcPr>
            <w:tcW w:w="2280" w:type="dxa"/>
            <w:vAlign w:val="bottom"/>
          </w:tcPr>
          <w:p>
            <w:pPr>
              <w:spacing w:after="0"/>
              <w:rPr>
                <w:sz w:val="20"/>
                <w:szCs w:val="20"/>
                <w:color w:val="auto"/>
              </w:rPr>
            </w:pPr>
          </w:p>
        </w:tc>
        <w:tc>
          <w:tcPr>
            <w:tcW w:w="5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(Registrant)</w:t>
            </w:r>
          </w:p>
        </w:tc>
      </w:tr>
      <w:tr>
        <w:trPr>
          <w:trHeight w:val="466"/>
        </w:trPr>
        <w:tc>
          <w:tcPr>
            <w:tcW w:w="3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   October 30, 2024</w:t>
            </w:r>
          </w:p>
        </w:tc>
        <w:tc>
          <w:tcPr>
            <w:tcW w:w="7440" w:type="dxa"/>
            <w:vAlign w:val="bottom"/>
            <w:gridSpan w:val="2"/>
          </w:tcPr>
          <w:p>
            <w:pPr>
              <w:ind w:left="1860"/>
              <w:spacing w:after="0"/>
              <w:rPr>
                <w:sz w:val="20"/>
                <w:szCs w:val="20"/>
                <w:color w:val="auto"/>
              </w:rPr>
            </w:pPr>
            <w:r>
              <w:rPr>
                <w:rFonts w:ascii="Times New Roman" w:cs="Times New Roman" w:eastAsia="Times New Roman" w:hAnsi="Times New Roman"/>
                <w:sz w:val="18"/>
                <w:szCs w:val="18"/>
                <w:color w:val="auto"/>
              </w:rPr>
              <w:t>By:  /s/ Andrew Kang</w:t>
            </w:r>
          </w:p>
        </w:tc>
      </w:tr>
      <w:tr>
        <w:trPr>
          <w:trHeight w:val="234"/>
        </w:trPr>
        <w:tc>
          <w:tcPr>
            <w:tcW w:w="3800" w:type="dxa"/>
            <w:vAlign w:val="bottom"/>
          </w:tcPr>
          <w:p>
            <w:pPr>
              <w:spacing w:after="0"/>
              <w:rPr>
                <w:sz w:val="20"/>
                <w:szCs w:val="20"/>
                <w:color w:val="auto"/>
              </w:rPr>
            </w:pPr>
          </w:p>
        </w:tc>
        <w:tc>
          <w:tcPr>
            <w:tcW w:w="2280" w:type="dxa"/>
            <w:vAlign w:val="bottom"/>
          </w:tcPr>
          <w:p>
            <w:pPr>
              <w:spacing w:after="0"/>
              <w:rPr>
                <w:sz w:val="20"/>
                <w:szCs w:val="20"/>
                <w:color w:val="auto"/>
              </w:rPr>
            </w:pPr>
          </w:p>
        </w:tc>
        <w:tc>
          <w:tcPr>
            <w:tcW w:w="5160" w:type="dxa"/>
            <w:vAlign w:val="bottom"/>
            <w:tcBorders>
              <w:top w:val="single" w:sz="8" w:color="auto"/>
            </w:tcBorders>
          </w:tcPr>
          <w:p>
            <w:pPr>
              <w:ind w:left="20"/>
              <w:spacing w:after="0"/>
              <w:rPr>
                <w:sz w:val="20"/>
                <w:szCs w:val="20"/>
                <w:color w:val="auto"/>
              </w:rPr>
            </w:pPr>
            <w:r>
              <w:rPr>
                <w:rFonts w:ascii="Times New Roman" w:cs="Times New Roman" w:eastAsia="Times New Roman" w:hAnsi="Times New Roman"/>
                <w:sz w:val="18"/>
                <w:szCs w:val="18"/>
                <w:color w:val="auto"/>
              </w:rPr>
              <w:t>Andrew Kang</w:t>
            </w:r>
          </w:p>
        </w:tc>
      </w:tr>
      <w:tr>
        <w:trPr>
          <w:trHeight w:val="238"/>
        </w:trPr>
        <w:tc>
          <w:tcPr>
            <w:tcW w:w="3800" w:type="dxa"/>
            <w:vAlign w:val="bottom"/>
          </w:tcPr>
          <w:p>
            <w:pPr>
              <w:spacing w:after="0"/>
              <w:rPr>
                <w:sz w:val="20"/>
                <w:szCs w:val="20"/>
                <w:color w:val="auto"/>
              </w:rPr>
            </w:pPr>
          </w:p>
        </w:tc>
        <w:tc>
          <w:tcPr>
            <w:tcW w:w="2280" w:type="dxa"/>
            <w:vAlign w:val="bottom"/>
          </w:tcPr>
          <w:p>
            <w:pPr>
              <w:spacing w:after="0"/>
              <w:rPr>
                <w:sz w:val="20"/>
                <w:szCs w:val="20"/>
                <w:color w:val="auto"/>
              </w:rPr>
            </w:pPr>
          </w:p>
        </w:tc>
        <w:tc>
          <w:tcPr>
            <w:tcW w:w="5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Senior Executive Vice President &amp; Chief Financial Officer</w:t>
            </w:r>
          </w:p>
        </w:tc>
      </w:tr>
      <w:tr>
        <w:trPr>
          <w:trHeight w:val="993"/>
        </w:trPr>
        <w:tc>
          <w:tcPr>
            <w:tcW w:w="3800" w:type="dxa"/>
            <w:vAlign w:val="bottom"/>
            <w:tcBorders>
              <w:bottom w:val="single" w:sz="8" w:color="9A9A9A"/>
            </w:tcBorders>
          </w:tcPr>
          <w:p>
            <w:pPr>
              <w:spacing w:after="0"/>
              <w:rPr>
                <w:sz w:val="24"/>
                <w:szCs w:val="24"/>
                <w:color w:val="auto"/>
              </w:rPr>
            </w:pPr>
          </w:p>
        </w:tc>
        <w:tc>
          <w:tcPr>
            <w:tcW w:w="2280" w:type="dxa"/>
            <w:vAlign w:val="bottom"/>
            <w:tcBorders>
              <w:bottom w:val="single" w:sz="8" w:color="9A9A9A"/>
            </w:tcBorders>
          </w:tcPr>
          <w:p>
            <w:pPr>
              <w:spacing w:after="0"/>
              <w:rPr>
                <w:sz w:val="24"/>
                <w:szCs w:val="24"/>
                <w:color w:val="auto"/>
              </w:rPr>
            </w:pPr>
          </w:p>
        </w:tc>
        <w:tc>
          <w:tcPr>
            <w:tcW w:w="516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3" w:name="page4"/>
    <w:bookmarkEnd w:id="3"/>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9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Contact:</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Investor Relations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p>
      <w:pPr>
        <w:spacing w:after="0" w:line="308" w:lineRule="exact"/>
        <w:rPr>
          <w:sz w:val="20"/>
          <w:szCs w:val="20"/>
          <w:color w:val="auto"/>
        </w:rPr>
      </w:pPr>
    </w:p>
    <w:p>
      <w:pPr>
        <w:jc w:val="center"/>
        <w:spacing w:after="0" w:line="260" w:lineRule="auto"/>
        <w:rPr>
          <w:sz w:val="20"/>
          <w:szCs w:val="20"/>
          <w:color w:val="auto"/>
        </w:rPr>
      </w:pPr>
      <w:r>
        <w:rPr>
          <w:rFonts w:ascii="Times New Roman" w:cs="Times New Roman" w:eastAsia="Times New Roman" w:hAnsi="Times New Roman"/>
          <w:sz w:val="29"/>
          <w:szCs w:val="29"/>
          <w:b w:val="1"/>
          <w:bCs w:val="1"/>
          <w:color w:val="auto"/>
        </w:rPr>
        <w:t>MicroStrategy Announces Third Quarter 2024 Financial Results Holds 252,220 BTC with BTC Yield of 17.8% YTD, Announces $42 Billion Capital Plan</w:t>
      </w:r>
    </w:p>
    <w:p>
      <w:pPr>
        <w:spacing w:after="0" w:line="286" w:lineRule="exact"/>
        <w:rPr>
          <w:sz w:val="20"/>
          <w:szCs w:val="20"/>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5.1% “BTC Yield” KPI achieved in Q3 2024</w:t>
      </w:r>
    </w:p>
    <w:p>
      <w:pPr>
        <w:spacing w:after="0" w:line="2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Announces a $21 billion at-the-market (ATM) equity offering</w:t>
      </w:r>
    </w:p>
    <w:p>
      <w:pPr>
        <w:spacing w:after="0" w:line="9"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Announces a target of raising $21 billion using fixed-income securities</w:t>
      </w:r>
    </w:p>
    <w:p>
      <w:pPr>
        <w:spacing w:after="0" w:line="9"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Revises annual BTC Yield target to 6% to 10% for 2025 through 2027</w:t>
      </w:r>
    </w:p>
    <w:p>
      <w:pPr>
        <w:spacing w:after="0" w:line="268" w:lineRule="exact"/>
        <w:rPr>
          <w:sz w:val="20"/>
          <w:szCs w:val="20"/>
          <w:color w:val="auto"/>
        </w:rPr>
      </w:pPr>
    </w:p>
    <w:p>
      <w:pPr>
        <w:jc w:val="both"/>
        <w:spacing w:after="0" w:line="238" w:lineRule="auto"/>
        <w:rPr>
          <w:sz w:val="20"/>
          <w:szCs w:val="20"/>
          <w:color w:val="auto"/>
        </w:rPr>
      </w:pPr>
      <w:r>
        <w:rPr>
          <w:rFonts w:ascii="Times New Roman" w:cs="Times New Roman" w:eastAsia="Times New Roman" w:hAnsi="Times New Roman"/>
          <w:sz w:val="18"/>
          <w:szCs w:val="18"/>
          <w:color w:val="auto"/>
        </w:rPr>
        <w:t>TYSONS CORNER, Va., October 30, 2024 - MicroStrategy</w:t>
      </w:r>
      <w:r>
        <w:rPr>
          <w:rFonts w:ascii="Times New Roman" w:cs="Times New Roman" w:eastAsia="Times New Roman" w:hAnsi="Times New Roman"/>
          <w:sz w:val="24"/>
          <w:szCs w:val="24"/>
          <w:color w:val="auto"/>
          <w:vertAlign w:val="superscript"/>
        </w:rPr>
        <w:t>®</w:t>
      </w:r>
      <w:r>
        <w:rPr>
          <w:rFonts w:ascii="Times New Roman" w:cs="Times New Roman" w:eastAsia="Times New Roman" w:hAnsi="Times New Roman"/>
          <w:sz w:val="18"/>
          <w:szCs w:val="18"/>
          <w:color w:val="auto"/>
        </w:rPr>
        <w:t xml:space="preserve"> Incorporated (Nasdaq: MSTR) (“MicroStrategy” or the “Company”), the largest corporate holder of bitcoin and the world’s first Bitcoin Treasury Company, today announced financial results for the three-month period ended September 30, 2024 (the third quarter of its 2024 fiscal year).</w:t>
      </w:r>
    </w:p>
    <w:p>
      <w:pPr>
        <w:spacing w:after="0" w:line="20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focus remains to increase value generated to our shareholders by leveraging the digital transformation of capital. Today, we are announcing a strategic goal of raising $42 billion of capital over the next 3 years, comprised of $21 billion of equity and $21 billion of fixed income securities, which we refer to as our “21/21 Plan.” As a Bitcoin Treasury Company, we plan to use the additional capital to buy more bitcoin as a treasury reserve asset in a manner that will allow us to achieve higher BTC Yield,” said Phong Le, President and Chief Executive Officer, MicroStrategy.</w:t>
      </w:r>
    </w:p>
    <w:p>
      <w:pPr>
        <w:spacing w:after="0" w:line="1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“Q3 2024 was another transformational quarter for MicroStrategy, as we raised $2.1 billion in equity and debt. Our proven track record of using intelligent leverage serves as the foundation to execute on our strategic three-year 21/21 Plan. Through our treasury strategy, we increased our bitcoin holdings by 11% in the quarter, increased our year-to-date BTC Yield to 17.8%, and reduced our total annualized interest expense by $24 million,” said Andrew Kang, Chief Financial Officer, MicroStrategy.</w:t>
      </w:r>
    </w:p>
    <w:p>
      <w:pPr>
        <w:spacing w:after="0" w:line="180"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On August 7, 2024, the Company completed a 10-for-1 stock split of the Company’s class A and class B common stock. All prior period share and per share information presented herein has been retroactively adjusted to reflect the stock split.</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Bitcoin Treasury Highlights</w:t>
      </w:r>
    </w:p>
    <w:p>
      <w:pPr>
        <w:spacing w:after="0" w:line="225" w:lineRule="exact"/>
        <w:rPr>
          <w:sz w:val="20"/>
          <w:szCs w:val="20"/>
          <w:color w:val="auto"/>
        </w:rPr>
      </w:pPr>
    </w:p>
    <w:p>
      <w:pPr>
        <w:jc w:val="both"/>
        <w:ind w:left="380" w:hanging="178"/>
        <w:spacing w:after="0" w:line="262" w:lineRule="auto"/>
        <w:tabs>
          <w:tab w:leader="none" w:pos="3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“BTC Yield” KPI: </w:t>
      </w:r>
      <w:r>
        <w:rPr>
          <w:rFonts w:ascii="Times New Roman" w:cs="Times New Roman" w:eastAsia="Times New Roman" w:hAnsi="Times New Roman"/>
          <w:sz w:val="18"/>
          <w:szCs w:val="18"/>
          <w:color w:val="auto"/>
        </w:rPr>
        <w:t>Year-to-date 2024, the Company’s BTC Yield is 17.8%. The Company is revising its long-term target to achieve an annual BTC</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Yield of 6% to 10% between 2025 and 2027. BTC Yield is a key performance indicator (“KPI”) that the Company uses to help assess the performance of its strategy of acquiring bitcoin in a manner the Company believes is accretive to shareholders. See “Important Information about BTC Yield KPI” in this press release for the definition of BTC Yield and how it is calculated.</w:t>
      </w:r>
    </w:p>
    <w:p>
      <w:pPr>
        <w:spacing w:after="0" w:line="176" w:lineRule="exact"/>
        <w:rPr>
          <w:rFonts w:ascii="Times New Roman" w:cs="Times New Roman" w:eastAsia="Times New Roman" w:hAnsi="Times New Roman"/>
          <w:sz w:val="18"/>
          <w:szCs w:val="18"/>
          <w:color w:val="auto"/>
        </w:rPr>
      </w:pPr>
    </w:p>
    <w:p>
      <w:pPr>
        <w:jc w:val="both"/>
        <w:ind w:left="400" w:hanging="198"/>
        <w:spacing w:after="0" w:line="268" w:lineRule="auto"/>
        <w:tabs>
          <w:tab w:leader="none" w:pos="40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Digital Assets: </w:t>
      </w:r>
      <w:r>
        <w:rPr>
          <w:rFonts w:ascii="Times New Roman" w:cs="Times New Roman" w:eastAsia="Times New Roman" w:hAnsi="Times New Roman"/>
          <w:sz w:val="18"/>
          <w:szCs w:val="18"/>
          <w:color w:val="auto"/>
        </w:rPr>
        <w:t>As of September 30, 2024, the carrying value of the Company’s digital assets (comprised of approximately 252,220 bitcoins) was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$6.851 billion. As of September 30, 2024, the original cost basis and market value of the Company’s bitcoin were $9.904 billion and $16.007 billion, respectively, which reflects an average cost per bitcoin of approximately $39,266 and a market price per bitcoin of $63,463, respectively.</w:t>
      </w:r>
    </w:p>
    <w:p>
      <w:pPr>
        <w:spacing w:after="0" w:line="170" w:lineRule="exact"/>
        <w:rPr>
          <w:rFonts w:ascii="Times New Roman" w:cs="Times New Roman" w:eastAsia="Times New Roman" w:hAnsi="Times New Roman"/>
          <w:sz w:val="18"/>
          <w:szCs w:val="18"/>
          <w:color w:val="auto"/>
        </w:rPr>
      </w:pPr>
    </w:p>
    <w:p>
      <w:pPr>
        <w:jc w:val="both"/>
        <w:ind w:left="400" w:hanging="198"/>
        <w:spacing w:after="0" w:line="268" w:lineRule="auto"/>
        <w:tabs>
          <w:tab w:leader="none" w:pos="40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At-the-Market Equity Offering Program: </w:t>
      </w:r>
      <w:r>
        <w:rPr>
          <w:rFonts w:ascii="Times New Roman" w:cs="Times New Roman" w:eastAsia="Times New Roman" w:hAnsi="Times New Roman"/>
          <w:sz w:val="18"/>
          <w:szCs w:val="18"/>
          <w:color w:val="auto"/>
        </w:rPr>
        <w:t>During the three months ended September 30, 2024, the Company issued and sold 8,048,449 shares of its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class A common stock for aggregate net proceeds of approximately $1.1 billion. As of September 30, 2024, approximately $891.3 million of the Company's class A common stock remained available for issuance and sale pursuant to our current at-the-market equity offering program.</w:t>
      </w:r>
    </w:p>
    <w:p>
      <w:pPr>
        <w:spacing w:after="0" w:line="170" w:lineRule="exact"/>
        <w:rPr>
          <w:rFonts w:ascii="Times New Roman" w:cs="Times New Roman" w:eastAsia="Times New Roman" w:hAnsi="Times New Roman"/>
          <w:sz w:val="18"/>
          <w:szCs w:val="18"/>
          <w:color w:val="auto"/>
        </w:rPr>
      </w:pPr>
    </w:p>
    <w:p>
      <w:pPr>
        <w:jc w:val="both"/>
        <w:ind w:left="400" w:hanging="198"/>
        <w:spacing w:after="0" w:line="268" w:lineRule="auto"/>
        <w:tabs>
          <w:tab w:leader="none" w:pos="40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New At-the-Market Equity Offering Program</w:t>
      </w:r>
      <w:r>
        <w:rPr>
          <w:rFonts w:ascii="Times New Roman" w:cs="Times New Roman" w:eastAsia="Times New Roman" w:hAnsi="Times New Roman"/>
          <w:sz w:val="18"/>
          <w:szCs w:val="18"/>
          <w:color w:val="auto"/>
        </w:rPr>
        <w:t>: On October 30, 2024, the Company announced a new At-the-Market Equity Offering Program</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pursuant to which MicroStrategy may issue and sell shares of its class A common stock having an aggregate offering price of up to $21 billion from time to time.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744220</wp:posOffset>
            </wp:positionV>
            <wp:extent cx="7157720" cy="4254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4" w:name="page5"/>
    <w:bookmarkEnd w:id="4"/>
    <w:p>
      <w:pPr>
        <w:ind w:left="400" w:hanging="198"/>
        <w:spacing w:after="0" w:line="286"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Issuance of 2028 Convertible Notes: </w:t>
      </w:r>
      <w:r>
        <w:rPr>
          <w:rFonts w:ascii="Times New Roman" w:cs="Times New Roman" w:eastAsia="Times New Roman" w:hAnsi="Times New Roman"/>
          <w:sz w:val="18"/>
          <w:szCs w:val="18"/>
          <w:color w:val="auto"/>
        </w:rPr>
        <w:t>In September 2024, the Company issued $1.010 billion aggregate principal amount of 0.625% Convertible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Senior Notes due 2028 (the “2028 Convertible Notes”) with an initial conversion price of $183.19 per share of class A common stock.</w:t>
      </w:r>
    </w:p>
    <w:p>
      <w:pPr>
        <w:spacing w:after="0" w:line="154" w:lineRule="exact"/>
        <w:rPr>
          <w:rFonts w:ascii="Times New Roman" w:cs="Times New Roman" w:eastAsia="Times New Roman" w:hAnsi="Times New Roman"/>
          <w:sz w:val="18"/>
          <w:szCs w:val="18"/>
          <w:color w:val="auto"/>
        </w:rPr>
      </w:pPr>
    </w:p>
    <w:p>
      <w:pPr>
        <w:jc w:val="both"/>
        <w:ind w:left="400" w:hanging="198"/>
        <w:spacing w:after="0" w:line="268"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Redemption of 2028 Senior Secured Notes: </w:t>
      </w:r>
      <w:r>
        <w:rPr>
          <w:rFonts w:ascii="Times New Roman" w:cs="Times New Roman" w:eastAsia="Times New Roman" w:hAnsi="Times New Roman"/>
          <w:sz w:val="18"/>
          <w:szCs w:val="18"/>
          <w:color w:val="auto"/>
        </w:rPr>
        <w:t>On September 26, 2024, the Company used proceeds from the 2028 Convertible Notes to redeem all</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$500 million aggregate principal amount of the Company’s 6.125% Senior Secured Notes due 2028 (the “2028 Secured Notes”) at a redemption price equal to 103.063% of the principal amount of the 2028 Secured Notes, plus accrued and unpaid interest to but excluding September 26, 2024.</w:t>
      </w:r>
    </w:p>
    <w:p>
      <w:pPr>
        <w:spacing w:after="0" w:line="17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Q3 2024 Software Business Highlights</w:t>
      </w:r>
    </w:p>
    <w:p>
      <w:pPr>
        <w:spacing w:after="0" w:line="225" w:lineRule="exact"/>
        <w:rPr>
          <w:sz w:val="20"/>
          <w:szCs w:val="20"/>
          <w:color w:val="auto"/>
        </w:rPr>
      </w:pPr>
    </w:p>
    <w:p>
      <w:pPr>
        <w:ind w:left="380" w:hanging="178"/>
        <w:spacing w:after="0"/>
        <w:tabs>
          <w:tab w:leader="none" w:pos="38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Revenues:</w:t>
      </w:r>
    </w:p>
    <w:p>
      <w:pPr>
        <w:spacing w:after="0" w:line="121" w:lineRule="exact"/>
        <w:rPr>
          <w:sz w:val="20"/>
          <w:szCs w:val="20"/>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Total revenues were $116.1 million, a 10.3% decrease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Subscription Services Revenues were $27.8 million, a 32.5% increase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Product licenses and subscription services revenues were $38.9 million, a 13.6% decrease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Product support revenues were $61.0 million, an 8.7% decrease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 services revenues were $16.2 million, an 8.0% decrease year-over-year.</w:t>
      </w:r>
    </w:p>
    <w:p>
      <w:pPr>
        <w:spacing w:after="0" w:line="221" w:lineRule="exact"/>
        <w:rPr>
          <w:rFonts w:ascii="Times New Roman" w:cs="Times New Roman" w:eastAsia="Times New Roman" w:hAnsi="Times New Roman"/>
          <w:sz w:val="18"/>
          <w:szCs w:val="18"/>
          <w:color w:val="auto"/>
        </w:rPr>
      </w:pPr>
    </w:p>
    <w:p>
      <w:pPr>
        <w:ind w:left="380" w:hanging="178"/>
        <w:spacing w:after="0" w:line="286" w:lineRule="auto"/>
        <w:tabs>
          <w:tab w:leader="none" w:pos="38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Gross Profit: </w:t>
      </w:r>
      <w:r>
        <w:rPr>
          <w:rFonts w:ascii="Times New Roman" w:cs="Times New Roman" w:eastAsia="Times New Roman" w:hAnsi="Times New Roman"/>
          <w:sz w:val="18"/>
          <w:szCs w:val="18"/>
          <w:color w:val="auto"/>
        </w:rPr>
        <w:t>Gross profit was $81.7 million, representing a 70.4% gross margin, compared to $102.8 million, representing a gross margin of 79.4%,</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for the third quarter of 2023.</w:t>
      </w:r>
    </w:p>
    <w:p>
      <w:pPr>
        <w:spacing w:after="0" w:line="15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Other Q3 Financial Highlights</w:t>
      </w:r>
    </w:p>
    <w:p>
      <w:pPr>
        <w:spacing w:after="0" w:line="225" w:lineRule="exact"/>
        <w:rPr>
          <w:sz w:val="20"/>
          <w:szCs w:val="20"/>
          <w:color w:val="auto"/>
        </w:rPr>
      </w:pPr>
    </w:p>
    <w:p>
      <w:pPr>
        <w:ind w:left="380" w:hanging="178"/>
        <w:spacing w:after="0" w:line="286" w:lineRule="auto"/>
        <w:tabs>
          <w:tab w:leader="none" w:pos="3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Operating Expenses: </w:t>
      </w:r>
      <w:r>
        <w:rPr>
          <w:rFonts w:ascii="Times New Roman" w:cs="Times New Roman" w:eastAsia="Times New Roman" w:hAnsi="Times New Roman"/>
          <w:sz w:val="18"/>
          <w:szCs w:val="18"/>
          <w:color w:val="auto"/>
        </w:rPr>
        <w:t>Operating expenses were $514.3 million, a 301.6% increase year-over-year. Operating expenses include impairment losses 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 Company’s digital assets, which were $412.1 million, compared to $33.6 million in the third quarter of 2023.</w:t>
      </w:r>
    </w:p>
    <w:p>
      <w:pPr>
        <w:spacing w:after="0" w:line="154" w:lineRule="exact"/>
        <w:rPr>
          <w:rFonts w:ascii="Times New Roman" w:cs="Times New Roman" w:eastAsia="Times New Roman" w:hAnsi="Times New Roman"/>
          <w:sz w:val="18"/>
          <w:szCs w:val="18"/>
          <w:color w:val="auto"/>
        </w:rPr>
      </w:pPr>
    </w:p>
    <w:p>
      <w:pPr>
        <w:jc w:val="both"/>
        <w:ind w:left="380" w:hanging="178"/>
        <w:spacing w:after="0" w:line="268" w:lineRule="auto"/>
        <w:tabs>
          <w:tab w:leader="none" w:pos="3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Loss from Operations and Net (Loss) Income: </w:t>
      </w:r>
      <w:r>
        <w:rPr>
          <w:rFonts w:ascii="Times New Roman" w:cs="Times New Roman" w:eastAsia="Times New Roman" w:hAnsi="Times New Roman"/>
          <w:sz w:val="18"/>
          <w:szCs w:val="18"/>
          <w:color w:val="auto"/>
        </w:rPr>
        <w:t>Loss from operations was $432.6 million, compared to $25.2 million for the third quarter of 2023.</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Net loss was $340.2 million, or $1.72 per share on a diluted basis, as compared to a net loss of $143.4 million, or $1.01 per share on a diluted basis, for the third quarter of 2023.</w:t>
      </w:r>
    </w:p>
    <w:p>
      <w:pPr>
        <w:spacing w:after="0" w:line="170" w:lineRule="exact"/>
        <w:rPr>
          <w:rFonts w:ascii="Times New Roman" w:cs="Times New Roman" w:eastAsia="Times New Roman" w:hAnsi="Times New Roman"/>
          <w:sz w:val="18"/>
          <w:szCs w:val="18"/>
          <w:color w:val="auto"/>
        </w:rPr>
      </w:pPr>
    </w:p>
    <w:p>
      <w:pPr>
        <w:ind w:left="400" w:right="20" w:hanging="198"/>
        <w:spacing w:after="0" w:line="286" w:lineRule="auto"/>
        <w:tabs>
          <w:tab w:leader="none" w:pos="40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Cash and Cash Equivalents: </w:t>
      </w:r>
      <w:r>
        <w:rPr>
          <w:rFonts w:ascii="Times New Roman" w:cs="Times New Roman" w:eastAsia="Times New Roman" w:hAnsi="Times New Roman"/>
          <w:sz w:val="18"/>
          <w:szCs w:val="18"/>
          <w:color w:val="auto"/>
        </w:rPr>
        <w:t>As of September 30, 2024, the Company had cash and cash equivalents of $46.3 million, as compared to $46.8 million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as of December 31, 2023, a decrease of $0.5 million.</w:t>
      </w:r>
    </w:p>
    <w:p>
      <w:pPr>
        <w:spacing w:after="0" w:line="15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tables provided at the end of this press release include a reconciliation of the most directly comparable financial measures prepared in accordance with generally accepted accounting principles in the United States (“GAAP”) to non-GAAP financial measures for the three and nine months ended September 30, 2024 and 2023. An explanation of non-GAAP financial measures is also included under the heading “Non-GAAP Financial Measures” below. Additional non-GAAP financial measures are included in MicroStrategy’s “Q3 2024 Earnings Presentation,” which will be available under the “Events and Presentations” section of MicroStrategy’s investor relations website at https://www.microstrategy.com/en/investor-relations.</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Conference Call</w:t>
      </w:r>
    </w:p>
    <w:p>
      <w:pPr>
        <w:spacing w:after="0" w:line="27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MicroStrategy will be discussing its third quarter 2024 financial results on a live Video Webinar today beginning at approximately 5:00 p.m. ET. The live Video Webinar and accompanying presentation materials will be available under the “Events and Presentations” section of MicroStrategy’s investor relations website at https://www.microstrategy.com/en/investor-relations. Log-in instructions will be available after registering for the event. An archived replay of the event will be available beginning approximately two hours after the call concludes.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22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MicroStrategy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749935</wp:posOffset>
            </wp:positionV>
            <wp:extent cx="7157720" cy="4254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5" w:name="page6"/>
    <w:bookmarkEnd w:id="5"/>
    <w:p>
      <w:pPr>
        <w:jc w:val="both"/>
        <w:spacing w:after="0" w:line="266" w:lineRule="auto"/>
        <w:rPr>
          <w:sz w:val="20"/>
          <w:szCs w:val="20"/>
          <w:color w:val="auto"/>
        </w:rPr>
      </w:pPr>
      <w:r>
        <w:rPr>
          <w:rFonts w:ascii="Times New Roman" w:cs="Times New Roman" w:eastAsia="Times New Roman" w:hAnsi="Times New Roman"/>
          <w:sz w:val="18"/>
          <w:szCs w:val="18"/>
          <w:color w:val="auto"/>
        </w:rPr>
        <w:t>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7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Non-GAAP Financial Measures</w:t>
      </w:r>
    </w:p>
    <w:p>
      <w:pPr>
        <w:spacing w:after="0" w:line="22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MicroStrategy is providing supplemental financial measures for (i) non-GAAP loss from operations that excludes the impact of share-based compensation expense, (ii) non-GAAP net (loss) income and non-GAAP diluted (loss) earnings per share that exclude the impacts of share-based compensation expense, interest expense arising from the amortization of debt issuance costs related to MicroStrategy’s long-term debt, gains and losses on debt extinguishment, and related income tax effects, and (iii) non-GAAP constant currency revenues that exclude certain foreign currency exchange rate fluctuations. These supplemental financial measures are not measurements of financial performance under GAAP and, as a result, these supplemental financial measures may not be comparable to similarly titled measures of other companies. Management uses these non-GAAP financial measures internally to help understand, manage, and evaluate business performance and to help make operating decisions.</w:t>
      </w:r>
    </w:p>
    <w:p>
      <w:pPr>
        <w:spacing w:after="0" w:line="18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MicroStrategy believes that these non-GAAP financial measures are also useful to investors and analysts in comparing its performance across reporting periods on a consistent basis. The first supplemental financial measure excludes a significant non-cash expense that MicroStrategy believes is not reflective of its general business performance, and for which the accounting requires management judgment and the resulting share-based compensation expense could vary significantly in comparison to other companies. The second set of supplemental financial measures excludes the impacts of (i) share-based compensation expense, (ii) non-cash interest expense arising from the amortization of debt issuance costs related to MicroStrategy’s long-term debt, (iii) gains and losses on debt extinguishment, and (iv) related income tax effects. The third set of supplemental financial measures excludes changes resulting from certain fluctuations in foreign currency exchange rates so that results may be compared to the same period in the prior year on a non-GAAP constant currency basis. MicroStrategy believes the use of these non-GAAP financial measures can also facilitate comparison of MicroStrategy’s operating results to those of its competitors.</w:t>
      </w:r>
    </w:p>
    <w:p>
      <w:pPr>
        <w:spacing w:after="0" w:line="1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Important Information about BTC Yield KPI</w:t>
      </w:r>
    </w:p>
    <w:p>
      <w:pPr>
        <w:spacing w:after="0" w:line="22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BTC Yield is a key performance indicator (“KPI”) that represents the % change period-to-period of the ratio between the Company’s bitcoin holdings and its Assumed Diluted Shares Outstanding. Assumed Diluted Shares Outstanding refers to the aggregate of the Company’s actual shares of common stock outstanding as of the end of each period plus all additional shares that would result from the assumed conversion of all outstanding convertible notes,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18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uses BTC Yield as a KPI to help assess the performance of its strategy of acquiring bitcoin in a manner the Company believes is accretive to shareholders. The Company believes this KPI can be used to supplement an investor’s understanding of its decision to fund the purchase of bitcoin by issuing additional shares of its common stock or instruments convertible to common stock. When the Company uses this KPI, management also takes into account the various limitations of this metric, including that it does not take into account debt and other liabilities and claims on company assets that would be senior to common equity and that it assumes that all indebtedness will be refinanced or, in the case of the Company’s senior convertible debt instruments, converted into shares of common stock in accordance with their respective terms.</w:t>
      </w:r>
    </w:p>
    <w:p>
      <w:pPr>
        <w:spacing w:after="0" w:line="18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Additionally, this KPI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 holdings, return on investment on its bitcoin holdings, or any other similar financial measure of the performance of its business or assets.</w:t>
      </w:r>
    </w:p>
    <w:p>
      <w:pPr>
        <w:spacing w:after="0" w:line="1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trading price of the Company’s class A common stock is informed by numerous factors in addition to the amount of bitcoins the Company holds and number of actual or potential shares of its stock outstanding, and as a result, the market value of the Company’s shares may trade at a discount or a premium relative to the market value of the bitcoin the Company holds, and BTC Yield is not indicative nor predictive of the trading price of the Company’s shares of class A common stock.</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747395</wp:posOffset>
            </wp:positionV>
            <wp:extent cx="7157720" cy="4254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5" w:right="339" w:bottom="1440" w:gutter="0" w:footer="0" w:header="0"/>
        </w:sectPr>
      </w:pPr>
    </w:p>
    <w:bookmarkStart w:id="6" w:name="page7"/>
    <w:bookmarkEnd w:id="6"/>
    <w:p>
      <w:pPr>
        <w:jc w:val="both"/>
        <w:spacing w:after="0" w:line="282" w:lineRule="auto"/>
        <w:rPr>
          <w:sz w:val="20"/>
          <w:szCs w:val="20"/>
          <w:color w:val="auto"/>
        </w:rPr>
      </w:pPr>
      <w:r>
        <w:rPr>
          <w:rFonts w:ascii="Times New Roman" w:cs="Times New Roman" w:eastAsia="Times New Roman" w:hAnsi="Times New Roman"/>
          <w:sz w:val="18"/>
          <w:szCs w:val="18"/>
          <w:color w:val="auto"/>
        </w:rPr>
        <w:t>As noted above, this KPI is narrow in its purpose and is used by management to assist it in assessing whether the Company is using equity capital in a manner accretive to shareholders solely as it pertains to its bitcoin holdings.</w:t>
      </w:r>
    </w:p>
    <w:p>
      <w:pPr>
        <w:spacing w:after="0" w:line="16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calculating this KPI, the Company does not take into account the source of capital used for the acquisition of its bitcoin. The Company notes in particular, it has acquired bitcoin using proceeds from the offerings of the 2028 Secured Notes (which the Company has since redeemed), which were not convertible to shares of the Company’s common stock, as well as convertible senior notes, which at the time of issuance had, and may from time-to-time thereafter have, conversion prices above the current trading prices of the Company’s common stock, or as to which the holders of such convertible notes may not then be entitled to exercise the conversion rights of the notes. Such offerings have had the effect of increasing the BTC Yield without taking into account the corresponding debt. Conversely, if any of the Company’s convertible senior notes mature or are redeemed without being converted into common stock, the Company may be required to sell shares in quantities greater than the shares such notes are convertible into or generate cash proceeds from the sale of bitcoin, either of which would have the effect of decreasing the BTC Yield due to changes in the Company’s bitcoin holdings and shares in ways that were not contemplated by the assumptions in calculating BTC Yield. Accordingly, this metric might overstate or understate the accretive nature of the Company’s use of equity capital to buy bitcoin because not all bitcoin may be acquired using proceeds of equity offerings and not all issuances of equity may involve the acquisition of bitcoin.</w:t>
      </w:r>
    </w:p>
    <w:p>
      <w:pPr>
        <w:spacing w:after="0" w:line="19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determines its KPI targets based on its history and future goals. The Company’s ability to achieve positive BTC Yield may depend on a variety of factors, including its ability to generate cash from operations in excess of its fixed charges and other expenses, as well as factors outside of its control, such as the availability of debt and equity financing on favorable terms. Past performance is not indicative of future results.</w:t>
      </w:r>
    </w:p>
    <w:p>
      <w:pPr>
        <w:spacing w:after="0" w:line="176"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has historically not paid any dividends on its shares of common stock, and by presenting this KPI the Company makes no suggestion that it intends to do so in the future. Ownership of common stock does not represent an ownership interest in the bitcoin the Company holds.</w:t>
      </w:r>
    </w:p>
    <w:p>
      <w:pPr>
        <w:spacing w:after="0" w:line="16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Investors should rely on the financial statements and other disclosures contained in the Company’s SEC filings. This KPI is merely a supplement, not a substitute. It should be used only by sophisticated investors who understand its limited purpose and many limitations.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229"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This press release may include statements that may constitute “forward-looking statements,” including estimates of future business prospects or financial results, our targets relating to our BTC Yield, and statements containing the words “believe,” “estimate,” “project,” “expect,” “will,” or similar expressions. Forward-looking statements inherently involve risks and uncertainties that could cause actual results of MicroStrategy Incorporated and its subsidiaries (collectively, the “Company”) to differ materially from the forward-looking statements. Factors that could contribute to such differences include: fluctuations in the market price of bitcoin and any associated impairment charges that the Company may incur as a result of a decrease in the market price of bitcoin below the value at which the Company’s bitcoins are carried on its balance sheet; the availability of debt and equity financing on favorable terms; gains or losses on any sales of bitcoins; changes in the accounting treatment relating to the Company’s bitcoin holdings; changes in securities laws or other laws or regulations, or the adoption of new laws or regulations, relating to bitcoin that adversely affect the price of bitcoin or the Company’s ability to transact in or own bitcoin; the impact of the availability of spot exchange traded products for bitcoin and other digital assets; a decrease in liquidity in the markets in which bitcoin is traded; security breaches, cyberattacks, unauthorized access, loss of private keys, fraud or other circumstances or events that result in the loss of the Company’s bitcoins; impacts to the price and rate of adoption of bitcoin associated with financial difficulties and bankruptcies of various participants in the digital asset industry; the level and terms of the Company’s substantial indebtedness and its ability to service such debt; the extent and timing of market acceptance of the Company’s new product offerings; continued acceptance of the Company’s other products in the marketplace; the Company’s ability to recognize revenue or deferred revenue through delivery of products or satisfactory performance of services; the timing of significant orders; delays in or the inability of the Company to develop or ship new products; customers continuing to shift from a product license model to a cloud subscription model, which may delay the Company’s ability to recognize revenue; fluctuations in tax benefits or provisions; changes in the market price of bitcoin as of period-end and their effect on our deferred tax assets, related valuation allowance, and tax expense; other potentially adverse tax consequences, including the potential taxation of unrealized gains on our bitcoin holdings; competitive factors; general economic conditions, including levels of inflation and interest rates; currency fluctuations; and other risks detailed in MicroStrategy’s registration statements and periodic reports filed with the Securities and Exchange Commission (“SEC”). The Company undertakes no obligation to update these forward-looking statements for revisions or changes after the date of this release.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752475</wp:posOffset>
            </wp:positionV>
            <wp:extent cx="7157720" cy="4254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5" w:right="339" w:bottom="1440" w:gutter="0" w:footer="0" w:header="0"/>
        </w:sectPr>
      </w:pPr>
    </w:p>
    <w:bookmarkStart w:id="7" w:name="page8"/>
    <w:bookmarkEnd w:id="7"/>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STATEMENTS OF OPERATIONS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58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2720" w:type="dxa"/>
            <w:vAlign w:val="bottom"/>
            <w:gridSpan w:val="5"/>
          </w:tcPr>
          <w:p>
            <w:pPr>
              <w:jc w:val="right"/>
              <w:ind w:right="92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80" w:type="dxa"/>
            <w:vAlign w:val="bottom"/>
          </w:tcPr>
          <w:p>
            <w:pPr>
              <w:spacing w:after="0"/>
              <w:rPr>
                <w:sz w:val="15"/>
                <w:szCs w:val="15"/>
                <w:color w:val="auto"/>
              </w:rPr>
            </w:pPr>
          </w:p>
        </w:tc>
        <w:tc>
          <w:tcPr>
            <w:tcW w:w="2560" w:type="dxa"/>
            <w:vAlign w:val="bottom"/>
            <w:gridSpan w:val="5"/>
          </w:tcPr>
          <w:p>
            <w:pPr>
              <w:jc w:val="right"/>
              <w:ind w:right="800"/>
              <w:spacing w:after="0"/>
              <w:rPr>
                <w:sz w:val="20"/>
                <w:szCs w:val="20"/>
                <w:color w:val="auto"/>
              </w:rPr>
            </w:pPr>
            <w:r>
              <w:rPr>
                <w:rFonts w:ascii="Times New Roman" w:cs="Times New Roman" w:eastAsia="Times New Roman" w:hAnsi="Times New Roman"/>
                <w:sz w:val="14"/>
                <w:szCs w:val="14"/>
                <w:b w:val="1"/>
                <w:bCs w:val="1"/>
                <w:color w:val="auto"/>
              </w:rPr>
              <w:t>Nine Months Ended</w:t>
            </w:r>
          </w:p>
        </w:tc>
        <w:tc>
          <w:tcPr>
            <w:tcW w:w="0" w:type="dxa"/>
            <w:vAlign w:val="bottom"/>
          </w:tcPr>
          <w:p>
            <w:pPr>
              <w:spacing w:after="0"/>
              <w:rPr>
                <w:sz w:val="1"/>
                <w:szCs w:val="1"/>
                <w:color w:val="auto"/>
              </w:rPr>
            </w:pPr>
          </w:p>
        </w:tc>
      </w:tr>
      <w:tr>
        <w:trPr>
          <w:trHeight w:val="187"/>
        </w:trPr>
        <w:tc>
          <w:tcPr>
            <w:tcW w:w="558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2720" w:type="dxa"/>
            <w:vAlign w:val="bottom"/>
            <w:gridSpan w:val="5"/>
          </w:tcPr>
          <w:p>
            <w:pPr>
              <w:jc w:val="right"/>
              <w:ind w:right="114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180" w:type="dxa"/>
            <w:vAlign w:val="bottom"/>
          </w:tcPr>
          <w:p>
            <w:pPr>
              <w:spacing w:after="0"/>
              <w:rPr>
                <w:sz w:val="16"/>
                <w:szCs w:val="16"/>
                <w:color w:val="auto"/>
              </w:rPr>
            </w:pPr>
          </w:p>
        </w:tc>
        <w:tc>
          <w:tcPr>
            <w:tcW w:w="2560" w:type="dxa"/>
            <w:vAlign w:val="bottom"/>
            <w:gridSpan w:val="5"/>
          </w:tcPr>
          <w:p>
            <w:pPr>
              <w:jc w:val="right"/>
              <w:ind w:right="98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0" w:type="dxa"/>
            <w:vAlign w:val="bottom"/>
          </w:tcPr>
          <w:p>
            <w:pPr>
              <w:spacing w:after="0"/>
              <w:rPr>
                <w:sz w:val="1"/>
                <w:szCs w:val="1"/>
                <w:color w:val="auto"/>
              </w:rPr>
            </w:pPr>
          </w:p>
        </w:tc>
      </w:tr>
      <w:tr>
        <w:trPr>
          <w:trHeight w:val="169"/>
        </w:trPr>
        <w:tc>
          <w:tcPr>
            <w:tcW w:w="5580" w:type="dxa"/>
            <w:vAlign w:val="bottom"/>
          </w:tcPr>
          <w:p>
            <w:pPr>
              <w:spacing w:after="0"/>
              <w:rPr>
                <w:sz w:val="14"/>
                <w:szCs w:val="14"/>
                <w:color w:val="auto"/>
              </w:rPr>
            </w:pPr>
          </w:p>
        </w:tc>
        <w:tc>
          <w:tcPr>
            <w:tcW w:w="200" w:type="dxa"/>
            <w:vAlign w:val="bottom"/>
            <w:tcBorders>
              <w:top w:val="single" w:sz="8" w:color="auto"/>
              <w:bottom w:val="single" w:sz="8" w:color="auto"/>
            </w:tcBorders>
          </w:tcPr>
          <w:p>
            <w:pPr>
              <w:spacing w:after="0"/>
              <w:rPr>
                <w:sz w:val="14"/>
                <w:szCs w:val="14"/>
                <w:color w:val="auto"/>
              </w:rPr>
            </w:pPr>
          </w:p>
        </w:tc>
        <w:tc>
          <w:tcPr>
            <w:tcW w:w="1040" w:type="dxa"/>
            <w:vAlign w:val="bottom"/>
            <w:tcBorders>
              <w:top w:val="single" w:sz="8" w:color="auto"/>
              <w:bottom w:val="single" w:sz="8" w:color="auto"/>
            </w:tcBorders>
          </w:tcPr>
          <w:p>
            <w:pPr>
              <w:jc w:val="right"/>
              <w:ind w:right="39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4"/>
                <w:szCs w:val="14"/>
                <w:color w:val="auto"/>
              </w:rPr>
            </w:pPr>
          </w:p>
        </w:tc>
        <w:tc>
          <w:tcPr>
            <w:tcW w:w="200" w:type="dxa"/>
            <w:vAlign w:val="bottom"/>
            <w:tcBorders>
              <w:top w:val="single" w:sz="8" w:color="auto"/>
              <w:bottom w:val="single" w:sz="8" w:color="auto"/>
            </w:tcBorders>
          </w:tcPr>
          <w:p>
            <w:pPr>
              <w:spacing w:after="0"/>
              <w:rPr>
                <w:sz w:val="14"/>
                <w:szCs w:val="14"/>
                <w:color w:val="auto"/>
              </w:rPr>
            </w:pPr>
          </w:p>
        </w:tc>
        <w:tc>
          <w:tcPr>
            <w:tcW w:w="1000" w:type="dxa"/>
            <w:vAlign w:val="bottom"/>
            <w:tcBorders>
              <w:top w:val="single" w:sz="8" w:color="auto"/>
              <w:bottom w:val="single" w:sz="8" w:color="auto"/>
            </w:tcBorders>
          </w:tcPr>
          <w:p>
            <w:pPr>
              <w:jc w:val="right"/>
              <w:ind w:right="351"/>
              <w:spacing w:after="0"/>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4"/>
                <w:szCs w:val="14"/>
                <w:color w:val="auto"/>
              </w:rPr>
            </w:pPr>
          </w:p>
        </w:tc>
        <w:tc>
          <w:tcPr>
            <w:tcW w:w="180" w:type="dxa"/>
            <w:vAlign w:val="bottom"/>
            <w:tcBorders>
              <w:top w:val="single" w:sz="8" w:color="auto"/>
              <w:bottom w:val="single" w:sz="8" w:color="auto"/>
            </w:tcBorders>
          </w:tcPr>
          <w:p>
            <w:pPr>
              <w:spacing w:after="0"/>
              <w:rPr>
                <w:sz w:val="14"/>
                <w:szCs w:val="14"/>
                <w:color w:val="auto"/>
              </w:rPr>
            </w:pPr>
          </w:p>
        </w:tc>
        <w:tc>
          <w:tcPr>
            <w:tcW w:w="1020" w:type="dxa"/>
            <w:vAlign w:val="bottom"/>
            <w:tcBorders>
              <w:top w:val="single" w:sz="8" w:color="auto"/>
              <w:bottom w:val="single" w:sz="8" w:color="auto"/>
            </w:tcBorders>
          </w:tcPr>
          <w:p>
            <w:pPr>
              <w:jc w:val="right"/>
              <w:ind w:right="37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4"/>
                <w:szCs w:val="14"/>
                <w:color w:val="auto"/>
              </w:rPr>
            </w:pPr>
          </w:p>
        </w:tc>
        <w:tc>
          <w:tcPr>
            <w:tcW w:w="180" w:type="dxa"/>
            <w:vAlign w:val="bottom"/>
            <w:tcBorders>
              <w:top w:val="single" w:sz="8" w:color="auto"/>
              <w:bottom w:val="single" w:sz="8" w:color="auto"/>
            </w:tcBorders>
          </w:tcPr>
          <w:p>
            <w:pPr>
              <w:spacing w:after="0"/>
              <w:rPr>
                <w:sz w:val="14"/>
                <w:szCs w:val="14"/>
                <w:color w:val="auto"/>
              </w:rPr>
            </w:pPr>
          </w:p>
        </w:tc>
        <w:tc>
          <w:tcPr>
            <w:tcW w:w="1020" w:type="dxa"/>
            <w:vAlign w:val="bottom"/>
            <w:tcBorders>
              <w:top w:val="single" w:sz="8" w:color="auto"/>
              <w:bottom w:val="single" w:sz="8" w:color="auto"/>
            </w:tcBorders>
          </w:tcPr>
          <w:p>
            <w:pPr>
              <w:jc w:val="right"/>
              <w:ind w:right="37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69"/>
        </w:trPr>
        <w:tc>
          <w:tcPr>
            <w:tcW w:w="558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1040" w:type="dxa"/>
            <w:vAlign w:val="bottom"/>
          </w:tcPr>
          <w:p>
            <w:pPr>
              <w:jc w:val="right"/>
              <w:ind w:right="212"/>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1000" w:type="dxa"/>
            <w:vAlign w:val="bottom"/>
          </w:tcPr>
          <w:p>
            <w:pPr>
              <w:jc w:val="right"/>
              <w:ind w:right="171"/>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1020" w:type="dxa"/>
            <w:vAlign w:val="bottom"/>
          </w:tcPr>
          <w:p>
            <w:pPr>
              <w:jc w:val="right"/>
              <w:ind w:right="172"/>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1020" w:type="dxa"/>
            <w:vAlign w:val="bottom"/>
          </w:tcPr>
          <w:p>
            <w:pPr>
              <w:jc w:val="right"/>
              <w:ind w:right="191"/>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43"/>
        </w:trPr>
        <w:tc>
          <w:tcPr>
            <w:tcW w:w="5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20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Product licenses</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11,087</w:t>
            </w:r>
          </w:p>
        </w:tc>
        <w:tc>
          <w:tcPr>
            <w:tcW w:w="240" w:type="dxa"/>
            <w:vAlign w:val="bottom"/>
          </w:tcPr>
          <w:p>
            <w:pPr>
              <w:spacing w:after="0"/>
              <w:rPr>
                <w:sz w:val="20"/>
                <w:szCs w:val="20"/>
                <w:color w:val="auto"/>
              </w:rPr>
            </w:pP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24,045</w:t>
            </w:r>
          </w:p>
        </w:tc>
        <w:tc>
          <w:tcPr>
            <w:tcW w:w="240" w:type="dxa"/>
            <w:vAlign w:val="bottom"/>
          </w:tcPr>
          <w:p>
            <w:pPr>
              <w:spacing w:after="0"/>
              <w:rPr>
                <w:sz w:val="20"/>
                <w:szCs w:val="2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33,311</w:t>
            </w:r>
          </w:p>
        </w:tc>
        <w:tc>
          <w:tcPr>
            <w:tcW w:w="240" w:type="dxa"/>
            <w:vAlign w:val="bottom"/>
          </w:tcPr>
          <w:p>
            <w:pPr>
              <w:spacing w:after="0"/>
              <w:rPr>
                <w:sz w:val="20"/>
                <w:szCs w:val="2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56,979</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58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Subscription services</w:t>
            </w:r>
          </w:p>
        </w:tc>
        <w:tc>
          <w:tcPr>
            <w:tcW w:w="200" w:type="dxa"/>
            <w:vAlign w:val="bottom"/>
            <w:tcBorders>
              <w:bottom w:val="single" w:sz="8" w:color="auto"/>
            </w:tcBorders>
            <w:shd w:val="clear" w:color="auto" w:fill="CFF0FC"/>
          </w:tcPr>
          <w:p>
            <w:pPr>
              <w:spacing w:after="0"/>
              <w:rPr>
                <w:sz w:val="21"/>
                <w:szCs w:val="21"/>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27,800</w:t>
            </w:r>
          </w:p>
        </w:tc>
        <w:tc>
          <w:tcPr>
            <w:tcW w:w="240" w:type="dxa"/>
            <w:vAlign w:val="bottom"/>
            <w:tcBorders>
              <w:bottom w:val="single" w:sz="8" w:color="CFF0FC"/>
            </w:tcBorders>
            <w:shd w:val="clear" w:color="auto" w:fill="CFF0FC"/>
          </w:tcPr>
          <w:p>
            <w:pPr>
              <w:spacing w:after="0"/>
              <w:rPr>
                <w:sz w:val="21"/>
                <w:szCs w:val="21"/>
                <w:color w:val="auto"/>
              </w:rPr>
            </w:pPr>
          </w:p>
        </w:tc>
        <w:tc>
          <w:tcPr>
            <w:tcW w:w="200" w:type="dxa"/>
            <w:vAlign w:val="bottom"/>
            <w:tcBorders>
              <w:bottom w:val="single" w:sz="8" w:color="auto"/>
            </w:tcBorders>
            <w:shd w:val="clear" w:color="auto" w:fill="CFF0FC"/>
          </w:tcPr>
          <w:p>
            <w:pPr>
              <w:spacing w:after="0"/>
              <w:rPr>
                <w:sz w:val="21"/>
                <w:szCs w:val="21"/>
                <w:color w:val="auto"/>
              </w:rPr>
            </w:pPr>
          </w:p>
        </w:tc>
        <w:tc>
          <w:tcPr>
            <w:tcW w:w="10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20,974</w:t>
            </w:r>
          </w:p>
        </w:tc>
        <w:tc>
          <w:tcPr>
            <w:tcW w:w="24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auto"/>
            </w:tcBorders>
            <w:shd w:val="clear" w:color="auto" w:fill="CFF0FC"/>
          </w:tcPr>
          <w:p>
            <w:pPr>
              <w:spacing w:after="0"/>
              <w:rPr>
                <w:sz w:val="21"/>
                <w:szCs w:val="21"/>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74,846</w:t>
            </w:r>
          </w:p>
        </w:tc>
        <w:tc>
          <w:tcPr>
            <w:tcW w:w="24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auto"/>
            </w:tcBorders>
            <w:shd w:val="clear" w:color="auto" w:fill="CFF0FC"/>
          </w:tcPr>
          <w:p>
            <w:pPr>
              <w:spacing w:after="0"/>
              <w:rPr>
                <w:sz w:val="21"/>
                <w:szCs w:val="21"/>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59,662</w:t>
            </w: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2"/>
        </w:trPr>
        <w:tc>
          <w:tcPr>
            <w:tcW w:w="5580" w:type="dxa"/>
            <w:vAlign w:val="bottom"/>
          </w:tcPr>
          <w:p>
            <w:pPr>
              <w:ind w:left="22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200" w:type="dxa"/>
            <w:vAlign w:val="bottom"/>
          </w:tcPr>
          <w:p>
            <w:pPr>
              <w:spacing w:after="0"/>
              <w:rPr>
                <w:sz w:val="20"/>
                <w:szCs w:val="20"/>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38,887</w:t>
            </w: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45,019</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108,157</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116,641</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Product support</w:t>
            </w:r>
          </w:p>
        </w:tc>
        <w:tc>
          <w:tcPr>
            <w:tcW w:w="20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61,015</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66,860</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185,440</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198,422</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Other services</w:t>
            </w:r>
          </w:p>
        </w:tc>
        <w:tc>
          <w:tcPr>
            <w:tcW w:w="200" w:type="dxa"/>
            <w:vAlign w:val="bottom"/>
            <w:tcBorders>
              <w:bottom w:val="single" w:sz="8" w:color="auto"/>
            </w:tcBorders>
          </w:tcPr>
          <w:p>
            <w:pPr>
              <w:spacing w:after="0"/>
              <w:rPr>
                <w:sz w:val="21"/>
                <w:szCs w:val="21"/>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16,169</w:t>
            </w:r>
          </w:p>
        </w:tc>
        <w:tc>
          <w:tcPr>
            <w:tcW w:w="240" w:type="dxa"/>
            <w:vAlign w:val="bottom"/>
          </w:tcPr>
          <w:p>
            <w:pPr>
              <w:spacing w:after="0"/>
              <w:rPr>
                <w:sz w:val="21"/>
                <w:szCs w:val="21"/>
                <w:color w:val="auto"/>
              </w:rPr>
            </w:pPr>
          </w:p>
        </w:tc>
        <w:tc>
          <w:tcPr>
            <w:tcW w:w="200" w:type="dxa"/>
            <w:vAlign w:val="bottom"/>
            <w:tcBorders>
              <w:bottom w:val="single" w:sz="8" w:color="auto"/>
            </w:tcBorders>
          </w:tcPr>
          <w:p>
            <w:pPr>
              <w:spacing w:after="0"/>
              <w:rPr>
                <w:sz w:val="21"/>
                <w:szCs w:val="21"/>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17,583</w:t>
            </w:r>
          </w:p>
        </w:tc>
        <w:tc>
          <w:tcPr>
            <w:tcW w:w="24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49,162</w:t>
            </w:r>
          </w:p>
        </w:tc>
        <w:tc>
          <w:tcPr>
            <w:tcW w:w="24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56,714</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5580" w:type="dxa"/>
            <w:vAlign w:val="bottom"/>
            <w:tcBorders>
              <w:bottom w:val="single" w:sz="8" w:color="CFF0FC"/>
            </w:tcBorders>
            <w:shd w:val="clear" w:color="auto" w:fill="CFF0FC"/>
          </w:tcPr>
          <w:p>
            <w:pPr>
              <w:ind w:left="22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00" w:type="dxa"/>
            <w:vAlign w:val="bottom"/>
            <w:tcBorders>
              <w:bottom w:val="single" w:sz="8" w:color="auto"/>
            </w:tcBorders>
            <w:shd w:val="clear" w:color="auto" w:fill="CFF0FC"/>
          </w:tcPr>
          <w:p>
            <w:pPr>
              <w:spacing w:after="0"/>
              <w:rPr>
                <w:sz w:val="20"/>
                <w:szCs w:val="20"/>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116,071</w:t>
            </w:r>
          </w:p>
        </w:tc>
        <w:tc>
          <w:tcPr>
            <w:tcW w:w="240" w:type="dxa"/>
            <w:vAlign w:val="bottom"/>
            <w:tcBorders>
              <w:bottom w:val="single" w:sz="8" w:color="CFF0FC"/>
            </w:tcBorders>
            <w:shd w:val="clear" w:color="auto" w:fill="CFF0FC"/>
          </w:tcPr>
          <w:p>
            <w:pPr>
              <w:spacing w:after="0"/>
              <w:rPr>
                <w:sz w:val="20"/>
                <w:szCs w:val="20"/>
                <w:color w:val="auto"/>
              </w:rPr>
            </w:pPr>
          </w:p>
        </w:tc>
        <w:tc>
          <w:tcPr>
            <w:tcW w:w="200" w:type="dxa"/>
            <w:vAlign w:val="bottom"/>
            <w:tcBorders>
              <w:bottom w:val="single" w:sz="8" w:color="auto"/>
            </w:tcBorders>
            <w:shd w:val="clear" w:color="auto" w:fill="CFF0FC"/>
          </w:tcPr>
          <w:p>
            <w:pPr>
              <w:spacing w:after="0"/>
              <w:rPr>
                <w:sz w:val="20"/>
                <w:szCs w:val="20"/>
                <w:color w:val="auto"/>
              </w:rPr>
            </w:pPr>
          </w:p>
        </w:tc>
        <w:tc>
          <w:tcPr>
            <w:tcW w:w="10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129,462</w:t>
            </w:r>
          </w:p>
        </w:tc>
        <w:tc>
          <w:tcPr>
            <w:tcW w:w="240" w:type="dxa"/>
            <w:vAlign w:val="bottom"/>
            <w:tcBorders>
              <w:bottom w:val="single" w:sz="8" w:color="CFF0FC"/>
            </w:tcBorders>
            <w:shd w:val="clear" w:color="auto" w:fill="CFF0FC"/>
          </w:tcPr>
          <w:p>
            <w:pPr>
              <w:spacing w:after="0"/>
              <w:rPr>
                <w:sz w:val="20"/>
                <w:szCs w:val="20"/>
                <w:color w:val="auto"/>
              </w:rPr>
            </w:pPr>
          </w:p>
        </w:tc>
        <w:tc>
          <w:tcPr>
            <w:tcW w:w="180" w:type="dxa"/>
            <w:vAlign w:val="bottom"/>
            <w:tcBorders>
              <w:bottom w:val="single" w:sz="8" w:color="auto"/>
            </w:tcBorders>
            <w:shd w:val="clear" w:color="auto" w:fill="CFF0FC"/>
          </w:tcPr>
          <w:p>
            <w:pPr>
              <w:spacing w:after="0"/>
              <w:rPr>
                <w:sz w:val="20"/>
                <w:szCs w:val="20"/>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342,759</w:t>
            </w:r>
          </w:p>
        </w:tc>
        <w:tc>
          <w:tcPr>
            <w:tcW w:w="240" w:type="dxa"/>
            <w:vAlign w:val="bottom"/>
            <w:tcBorders>
              <w:bottom w:val="single" w:sz="8" w:color="CFF0FC"/>
            </w:tcBorders>
            <w:shd w:val="clear" w:color="auto" w:fill="CFF0FC"/>
          </w:tcPr>
          <w:p>
            <w:pPr>
              <w:spacing w:after="0"/>
              <w:rPr>
                <w:sz w:val="20"/>
                <w:szCs w:val="20"/>
                <w:color w:val="auto"/>
              </w:rPr>
            </w:pPr>
          </w:p>
        </w:tc>
        <w:tc>
          <w:tcPr>
            <w:tcW w:w="180" w:type="dxa"/>
            <w:vAlign w:val="bottom"/>
            <w:tcBorders>
              <w:bottom w:val="single" w:sz="8" w:color="auto"/>
            </w:tcBorders>
            <w:shd w:val="clear" w:color="auto" w:fill="CFF0FC"/>
          </w:tcPr>
          <w:p>
            <w:pPr>
              <w:spacing w:after="0"/>
              <w:rPr>
                <w:sz w:val="20"/>
                <w:szCs w:val="20"/>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371,777</w:t>
            </w:r>
          </w:p>
        </w:tc>
        <w:tc>
          <w:tcPr>
            <w:tcW w:w="100" w:type="dxa"/>
            <w:vAlign w:val="bottom"/>
            <w:tcBorders>
              <w:bottom w:val="single" w:sz="8" w:color="CFF0FC"/>
            </w:tcBorders>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4"/>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Cost of revenues:</w:t>
            </w:r>
          </w:p>
        </w:tc>
        <w:tc>
          <w:tcPr>
            <w:tcW w:w="200" w:type="dxa"/>
            <w:vAlign w:val="bottom"/>
          </w:tcPr>
          <w:p>
            <w:pPr>
              <w:spacing w:after="0"/>
              <w:rPr>
                <w:sz w:val="20"/>
                <w:szCs w:val="20"/>
                <w:color w:val="auto"/>
              </w:rPr>
            </w:pPr>
          </w:p>
        </w:tc>
        <w:tc>
          <w:tcPr>
            <w:tcW w:w="10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Product licenses</w:t>
            </w:r>
          </w:p>
        </w:tc>
        <w:tc>
          <w:tcPr>
            <w:tcW w:w="20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769</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342</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2,130</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1,320</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Subscription services</w:t>
            </w:r>
          </w:p>
        </w:tc>
        <w:tc>
          <w:tcPr>
            <w:tcW w:w="200" w:type="dxa"/>
            <w:vAlign w:val="bottom"/>
            <w:tcBorders>
              <w:bottom w:val="single" w:sz="8" w:color="auto"/>
            </w:tcBorders>
          </w:tcPr>
          <w:p>
            <w:pPr>
              <w:spacing w:after="0"/>
              <w:rPr>
                <w:sz w:val="21"/>
                <w:szCs w:val="21"/>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11,454</w:t>
            </w:r>
          </w:p>
        </w:tc>
        <w:tc>
          <w:tcPr>
            <w:tcW w:w="240" w:type="dxa"/>
            <w:vAlign w:val="bottom"/>
          </w:tcPr>
          <w:p>
            <w:pPr>
              <w:spacing w:after="0"/>
              <w:rPr>
                <w:sz w:val="21"/>
                <w:szCs w:val="21"/>
                <w:color w:val="auto"/>
              </w:rPr>
            </w:pPr>
          </w:p>
        </w:tc>
        <w:tc>
          <w:tcPr>
            <w:tcW w:w="200" w:type="dxa"/>
            <w:vAlign w:val="bottom"/>
            <w:tcBorders>
              <w:bottom w:val="single" w:sz="8" w:color="auto"/>
            </w:tcBorders>
          </w:tcPr>
          <w:p>
            <w:pPr>
              <w:spacing w:after="0"/>
              <w:rPr>
                <w:sz w:val="21"/>
                <w:szCs w:val="21"/>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8,028</w:t>
            </w:r>
          </w:p>
        </w:tc>
        <w:tc>
          <w:tcPr>
            <w:tcW w:w="24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29,618</w:t>
            </w:r>
          </w:p>
        </w:tc>
        <w:tc>
          <w:tcPr>
            <w:tcW w:w="24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23,100</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5580" w:type="dxa"/>
            <w:vAlign w:val="bottom"/>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200" w:type="dxa"/>
            <w:vAlign w:val="bottom"/>
            <w:shd w:val="clear" w:color="auto" w:fill="CFF0FC"/>
          </w:tcPr>
          <w:p>
            <w:pPr>
              <w:spacing w:after="0"/>
              <w:rPr>
                <w:sz w:val="20"/>
                <w:szCs w:val="20"/>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12,223</w:t>
            </w:r>
          </w:p>
        </w:tc>
        <w:tc>
          <w:tcPr>
            <w:tcW w:w="24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8,370</w:t>
            </w:r>
          </w:p>
        </w:tc>
        <w:tc>
          <w:tcPr>
            <w:tcW w:w="240" w:type="dxa"/>
            <w:vAlign w:val="bottom"/>
            <w:shd w:val="clear" w:color="auto" w:fill="CFF0FC"/>
          </w:tcPr>
          <w:p>
            <w:pPr>
              <w:spacing w:after="0"/>
              <w:rPr>
                <w:sz w:val="20"/>
                <w:szCs w:val="20"/>
                <w:color w:val="auto"/>
              </w:rPr>
            </w:pPr>
          </w:p>
        </w:tc>
        <w:tc>
          <w:tcPr>
            <w:tcW w:w="180" w:type="dxa"/>
            <w:vAlign w:val="bottom"/>
            <w:shd w:val="clear" w:color="auto" w:fill="CFF0FC"/>
          </w:tcPr>
          <w:p>
            <w:pPr>
              <w:spacing w:after="0"/>
              <w:rPr>
                <w:sz w:val="20"/>
                <w:szCs w:val="20"/>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31,748</w:t>
            </w:r>
          </w:p>
        </w:tc>
        <w:tc>
          <w:tcPr>
            <w:tcW w:w="240" w:type="dxa"/>
            <w:vAlign w:val="bottom"/>
            <w:shd w:val="clear" w:color="auto" w:fill="CFF0FC"/>
          </w:tcPr>
          <w:p>
            <w:pPr>
              <w:spacing w:after="0"/>
              <w:rPr>
                <w:sz w:val="20"/>
                <w:szCs w:val="20"/>
                <w:color w:val="auto"/>
              </w:rPr>
            </w:pPr>
          </w:p>
        </w:tc>
        <w:tc>
          <w:tcPr>
            <w:tcW w:w="180" w:type="dxa"/>
            <w:vAlign w:val="bottom"/>
            <w:shd w:val="clear" w:color="auto" w:fill="CFF0FC"/>
          </w:tcPr>
          <w:p>
            <w:pPr>
              <w:spacing w:after="0"/>
              <w:rPr>
                <w:sz w:val="20"/>
                <w:szCs w:val="20"/>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24,420</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9"/>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Product support</w:t>
            </w:r>
          </w:p>
        </w:tc>
        <w:tc>
          <w:tcPr>
            <w:tcW w:w="200" w:type="dxa"/>
            <w:vAlign w:val="bottom"/>
          </w:tcPr>
          <w:p>
            <w:pPr>
              <w:spacing w:after="0"/>
              <w:rPr>
                <w:sz w:val="20"/>
                <w:szCs w:val="20"/>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8,572</w:t>
            </w: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5,531</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25,312</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17,115</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58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Other services</w:t>
            </w:r>
          </w:p>
        </w:tc>
        <w:tc>
          <w:tcPr>
            <w:tcW w:w="200" w:type="dxa"/>
            <w:vAlign w:val="bottom"/>
            <w:tcBorders>
              <w:bottom w:val="single" w:sz="8" w:color="auto"/>
            </w:tcBorders>
            <w:shd w:val="clear" w:color="auto" w:fill="CFF0FC"/>
          </w:tcPr>
          <w:p>
            <w:pPr>
              <w:spacing w:after="0"/>
              <w:rPr>
                <w:sz w:val="21"/>
                <w:szCs w:val="21"/>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13,554</w:t>
            </w:r>
          </w:p>
        </w:tc>
        <w:tc>
          <w:tcPr>
            <w:tcW w:w="240" w:type="dxa"/>
            <w:vAlign w:val="bottom"/>
            <w:tcBorders>
              <w:bottom w:val="single" w:sz="8" w:color="CFF0FC"/>
            </w:tcBorders>
            <w:shd w:val="clear" w:color="auto" w:fill="CFF0FC"/>
          </w:tcPr>
          <w:p>
            <w:pPr>
              <w:spacing w:after="0"/>
              <w:rPr>
                <w:sz w:val="21"/>
                <w:szCs w:val="21"/>
                <w:color w:val="auto"/>
              </w:rPr>
            </w:pPr>
          </w:p>
        </w:tc>
        <w:tc>
          <w:tcPr>
            <w:tcW w:w="200" w:type="dxa"/>
            <w:vAlign w:val="bottom"/>
            <w:tcBorders>
              <w:bottom w:val="single" w:sz="8" w:color="auto"/>
            </w:tcBorders>
            <w:shd w:val="clear" w:color="auto" w:fill="CFF0FC"/>
          </w:tcPr>
          <w:p>
            <w:pPr>
              <w:spacing w:after="0"/>
              <w:rPr>
                <w:sz w:val="21"/>
                <w:szCs w:val="21"/>
                <w:color w:val="auto"/>
              </w:rPr>
            </w:pPr>
          </w:p>
        </w:tc>
        <w:tc>
          <w:tcPr>
            <w:tcW w:w="10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12,760</w:t>
            </w:r>
          </w:p>
        </w:tc>
        <w:tc>
          <w:tcPr>
            <w:tcW w:w="24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auto"/>
            </w:tcBorders>
            <w:shd w:val="clear" w:color="auto" w:fill="CFF0FC"/>
          </w:tcPr>
          <w:p>
            <w:pPr>
              <w:spacing w:after="0"/>
              <w:rPr>
                <w:sz w:val="21"/>
                <w:szCs w:val="21"/>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38,239</w:t>
            </w:r>
          </w:p>
        </w:tc>
        <w:tc>
          <w:tcPr>
            <w:tcW w:w="24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auto"/>
            </w:tcBorders>
            <w:shd w:val="clear" w:color="auto" w:fill="CFF0FC"/>
          </w:tcPr>
          <w:p>
            <w:pPr>
              <w:spacing w:after="0"/>
              <w:rPr>
                <w:sz w:val="21"/>
                <w:szCs w:val="21"/>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40,188</w:t>
            </w: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5580" w:type="dxa"/>
            <w:vAlign w:val="bottom"/>
          </w:tcPr>
          <w:p>
            <w:pPr>
              <w:ind w:left="220"/>
              <w:spacing w:after="0"/>
              <w:rPr>
                <w:sz w:val="20"/>
                <w:szCs w:val="20"/>
                <w:color w:val="auto"/>
              </w:rPr>
            </w:pPr>
            <w:r>
              <w:rPr>
                <w:rFonts w:ascii="Times New Roman" w:cs="Times New Roman" w:eastAsia="Times New Roman" w:hAnsi="Times New Roman"/>
                <w:sz w:val="18"/>
                <w:szCs w:val="18"/>
                <w:b w:val="1"/>
                <w:bCs w:val="1"/>
                <w:color w:val="auto"/>
              </w:rPr>
              <w:t>Total cost of revenues</w:t>
            </w:r>
          </w:p>
        </w:tc>
        <w:tc>
          <w:tcPr>
            <w:tcW w:w="200" w:type="dxa"/>
            <w:vAlign w:val="bottom"/>
            <w:tcBorders>
              <w:bottom w:val="single" w:sz="8" w:color="auto"/>
            </w:tcBorders>
          </w:tcPr>
          <w:p>
            <w:pPr>
              <w:spacing w:after="0"/>
              <w:rPr>
                <w:sz w:val="20"/>
                <w:szCs w:val="20"/>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34,349</w:t>
            </w:r>
          </w:p>
        </w:tc>
        <w:tc>
          <w:tcPr>
            <w:tcW w:w="240" w:type="dxa"/>
            <w:vAlign w:val="bottom"/>
          </w:tcPr>
          <w:p>
            <w:pPr>
              <w:spacing w:after="0"/>
              <w:rPr>
                <w:sz w:val="20"/>
                <w:szCs w:val="20"/>
                <w:color w:val="auto"/>
              </w:rPr>
            </w:pPr>
          </w:p>
        </w:tc>
        <w:tc>
          <w:tcPr>
            <w:tcW w:w="20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26,661</w:t>
            </w:r>
          </w:p>
        </w:tc>
        <w:tc>
          <w:tcPr>
            <w:tcW w:w="240" w:type="dxa"/>
            <w:vAlign w:val="bottom"/>
          </w:tcPr>
          <w:p>
            <w:pPr>
              <w:spacing w:after="0"/>
              <w:rPr>
                <w:sz w:val="20"/>
                <w:szCs w:val="20"/>
                <w:color w:val="auto"/>
              </w:rPr>
            </w:pPr>
          </w:p>
        </w:tc>
        <w:tc>
          <w:tcPr>
            <w:tcW w:w="180" w:type="dxa"/>
            <w:vAlign w:val="bottom"/>
            <w:tcBorders>
              <w:bottom w:val="single" w:sz="8" w:color="auto"/>
            </w:tcBorders>
          </w:tcPr>
          <w:p>
            <w:pPr>
              <w:spacing w:after="0"/>
              <w:rPr>
                <w:sz w:val="20"/>
                <w:szCs w:val="20"/>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95,299</w:t>
            </w:r>
          </w:p>
        </w:tc>
        <w:tc>
          <w:tcPr>
            <w:tcW w:w="240" w:type="dxa"/>
            <w:vAlign w:val="bottom"/>
          </w:tcPr>
          <w:p>
            <w:pPr>
              <w:spacing w:after="0"/>
              <w:rPr>
                <w:sz w:val="20"/>
                <w:szCs w:val="20"/>
                <w:color w:val="auto"/>
              </w:rPr>
            </w:pPr>
          </w:p>
        </w:tc>
        <w:tc>
          <w:tcPr>
            <w:tcW w:w="180" w:type="dxa"/>
            <w:vAlign w:val="bottom"/>
            <w:tcBorders>
              <w:bottom w:val="single" w:sz="8" w:color="auto"/>
            </w:tcBorders>
          </w:tcPr>
          <w:p>
            <w:pPr>
              <w:spacing w:after="0"/>
              <w:rPr>
                <w:sz w:val="20"/>
                <w:szCs w:val="20"/>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81,723</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37"/>
        </w:trPr>
        <w:tc>
          <w:tcPr>
            <w:tcW w:w="55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Gross profit</w:t>
            </w:r>
          </w:p>
        </w:tc>
        <w:tc>
          <w:tcPr>
            <w:tcW w:w="200" w:type="dxa"/>
            <w:vAlign w:val="bottom"/>
            <w:tcBorders>
              <w:bottom w:val="single" w:sz="8" w:color="auto"/>
            </w:tcBorders>
            <w:shd w:val="clear" w:color="auto" w:fill="CFF0FC"/>
          </w:tcPr>
          <w:p>
            <w:pPr>
              <w:spacing w:after="0"/>
              <w:rPr>
                <w:sz w:val="20"/>
                <w:szCs w:val="20"/>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81,722</w:t>
            </w:r>
          </w:p>
        </w:tc>
        <w:tc>
          <w:tcPr>
            <w:tcW w:w="240" w:type="dxa"/>
            <w:vAlign w:val="bottom"/>
            <w:tcBorders>
              <w:bottom w:val="single" w:sz="8" w:color="CFF0FC"/>
            </w:tcBorders>
            <w:shd w:val="clear" w:color="auto" w:fill="CFF0FC"/>
          </w:tcPr>
          <w:p>
            <w:pPr>
              <w:spacing w:after="0"/>
              <w:rPr>
                <w:sz w:val="20"/>
                <w:szCs w:val="20"/>
                <w:color w:val="auto"/>
              </w:rPr>
            </w:pPr>
          </w:p>
        </w:tc>
        <w:tc>
          <w:tcPr>
            <w:tcW w:w="200" w:type="dxa"/>
            <w:vAlign w:val="bottom"/>
            <w:tcBorders>
              <w:bottom w:val="single" w:sz="8" w:color="auto"/>
            </w:tcBorders>
            <w:shd w:val="clear" w:color="auto" w:fill="CFF0FC"/>
          </w:tcPr>
          <w:p>
            <w:pPr>
              <w:spacing w:after="0"/>
              <w:rPr>
                <w:sz w:val="20"/>
                <w:szCs w:val="20"/>
                <w:color w:val="auto"/>
              </w:rPr>
            </w:pPr>
          </w:p>
        </w:tc>
        <w:tc>
          <w:tcPr>
            <w:tcW w:w="10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102,801</w:t>
            </w:r>
          </w:p>
        </w:tc>
        <w:tc>
          <w:tcPr>
            <w:tcW w:w="240" w:type="dxa"/>
            <w:vAlign w:val="bottom"/>
            <w:tcBorders>
              <w:bottom w:val="single" w:sz="8" w:color="CFF0FC"/>
            </w:tcBorders>
            <w:shd w:val="clear" w:color="auto" w:fill="CFF0FC"/>
          </w:tcPr>
          <w:p>
            <w:pPr>
              <w:spacing w:after="0"/>
              <w:rPr>
                <w:sz w:val="20"/>
                <w:szCs w:val="20"/>
                <w:color w:val="auto"/>
              </w:rPr>
            </w:pPr>
          </w:p>
        </w:tc>
        <w:tc>
          <w:tcPr>
            <w:tcW w:w="180" w:type="dxa"/>
            <w:vAlign w:val="bottom"/>
            <w:tcBorders>
              <w:bottom w:val="single" w:sz="8" w:color="auto"/>
            </w:tcBorders>
            <w:shd w:val="clear" w:color="auto" w:fill="CFF0FC"/>
          </w:tcPr>
          <w:p>
            <w:pPr>
              <w:spacing w:after="0"/>
              <w:rPr>
                <w:sz w:val="20"/>
                <w:szCs w:val="20"/>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247,460</w:t>
            </w:r>
          </w:p>
        </w:tc>
        <w:tc>
          <w:tcPr>
            <w:tcW w:w="240" w:type="dxa"/>
            <w:vAlign w:val="bottom"/>
            <w:tcBorders>
              <w:bottom w:val="single" w:sz="8" w:color="CFF0FC"/>
            </w:tcBorders>
            <w:shd w:val="clear" w:color="auto" w:fill="CFF0FC"/>
          </w:tcPr>
          <w:p>
            <w:pPr>
              <w:spacing w:after="0"/>
              <w:rPr>
                <w:sz w:val="20"/>
                <w:szCs w:val="20"/>
                <w:color w:val="auto"/>
              </w:rPr>
            </w:pPr>
          </w:p>
        </w:tc>
        <w:tc>
          <w:tcPr>
            <w:tcW w:w="180" w:type="dxa"/>
            <w:vAlign w:val="bottom"/>
            <w:tcBorders>
              <w:bottom w:val="single" w:sz="8" w:color="auto"/>
            </w:tcBorders>
            <w:shd w:val="clear" w:color="auto" w:fill="CFF0FC"/>
          </w:tcPr>
          <w:p>
            <w:pPr>
              <w:spacing w:after="0"/>
              <w:rPr>
                <w:sz w:val="20"/>
                <w:szCs w:val="20"/>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290,054</w:t>
            </w:r>
          </w:p>
        </w:tc>
        <w:tc>
          <w:tcPr>
            <w:tcW w:w="100" w:type="dxa"/>
            <w:vAlign w:val="bottom"/>
            <w:tcBorders>
              <w:bottom w:val="single" w:sz="8" w:color="CFF0FC"/>
            </w:tcBorders>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4"/>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Operating expenses:</w:t>
            </w:r>
          </w:p>
        </w:tc>
        <w:tc>
          <w:tcPr>
            <w:tcW w:w="200" w:type="dxa"/>
            <w:vAlign w:val="bottom"/>
          </w:tcPr>
          <w:p>
            <w:pPr>
              <w:spacing w:after="0"/>
              <w:rPr>
                <w:sz w:val="20"/>
                <w:szCs w:val="20"/>
                <w:color w:val="auto"/>
              </w:rPr>
            </w:pPr>
          </w:p>
        </w:tc>
        <w:tc>
          <w:tcPr>
            <w:tcW w:w="10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Sales and marketing</w:t>
            </w:r>
          </w:p>
        </w:tc>
        <w:tc>
          <w:tcPr>
            <w:tcW w:w="20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35,414</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35,606</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103,116</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109,372</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Research and development</w:t>
            </w:r>
          </w:p>
        </w:tc>
        <w:tc>
          <w:tcPr>
            <w:tcW w:w="200" w:type="dxa"/>
            <w:vAlign w:val="bottom"/>
          </w:tcPr>
          <w:p>
            <w:pPr>
              <w:spacing w:after="0"/>
              <w:rPr>
                <w:sz w:val="20"/>
                <w:szCs w:val="20"/>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33,301</w:t>
            </w: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29,660</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92,795</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90,372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20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33,505</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29,223</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104,300</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85,959</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200" w:type="dxa"/>
            <w:vAlign w:val="bottom"/>
            <w:tcBorders>
              <w:bottom w:val="single" w:sz="8" w:color="auto"/>
            </w:tcBorders>
          </w:tcPr>
          <w:p>
            <w:pPr>
              <w:spacing w:after="0"/>
              <w:rPr>
                <w:sz w:val="21"/>
                <w:szCs w:val="21"/>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412,084</w:t>
            </w:r>
          </w:p>
        </w:tc>
        <w:tc>
          <w:tcPr>
            <w:tcW w:w="240" w:type="dxa"/>
            <w:vAlign w:val="bottom"/>
          </w:tcPr>
          <w:p>
            <w:pPr>
              <w:spacing w:after="0"/>
              <w:rPr>
                <w:sz w:val="21"/>
                <w:szCs w:val="21"/>
                <w:color w:val="auto"/>
              </w:rPr>
            </w:pPr>
          </w:p>
        </w:tc>
        <w:tc>
          <w:tcPr>
            <w:tcW w:w="200" w:type="dxa"/>
            <w:vAlign w:val="bottom"/>
            <w:tcBorders>
              <w:bottom w:val="single" w:sz="8" w:color="auto"/>
            </w:tcBorders>
          </w:tcPr>
          <w:p>
            <w:pPr>
              <w:spacing w:after="0"/>
              <w:rPr>
                <w:sz w:val="21"/>
                <w:szCs w:val="21"/>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33,559</w:t>
            </w:r>
          </w:p>
        </w:tc>
        <w:tc>
          <w:tcPr>
            <w:tcW w:w="24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783,807</w:t>
            </w:r>
          </w:p>
        </w:tc>
        <w:tc>
          <w:tcPr>
            <w:tcW w:w="24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76,613</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5580" w:type="dxa"/>
            <w:vAlign w:val="bottom"/>
            <w:tcBorders>
              <w:bottom w:val="single" w:sz="8" w:color="CFF0FC"/>
            </w:tcBorders>
            <w:shd w:val="clear" w:color="auto" w:fill="CFF0FC"/>
          </w:tcPr>
          <w:p>
            <w:pPr>
              <w:ind w:left="220"/>
              <w:spacing w:after="0"/>
              <w:rPr>
                <w:sz w:val="20"/>
                <w:szCs w:val="20"/>
                <w:color w:val="auto"/>
              </w:rPr>
            </w:pPr>
            <w:r>
              <w:rPr>
                <w:rFonts w:ascii="Times New Roman" w:cs="Times New Roman" w:eastAsia="Times New Roman" w:hAnsi="Times New Roman"/>
                <w:sz w:val="18"/>
                <w:szCs w:val="18"/>
                <w:b w:val="1"/>
                <w:bCs w:val="1"/>
                <w:color w:val="auto"/>
              </w:rPr>
              <w:t>Total operating expenses</w:t>
            </w:r>
          </w:p>
        </w:tc>
        <w:tc>
          <w:tcPr>
            <w:tcW w:w="200" w:type="dxa"/>
            <w:vAlign w:val="bottom"/>
            <w:tcBorders>
              <w:bottom w:val="single" w:sz="8" w:color="auto"/>
            </w:tcBorders>
            <w:shd w:val="clear" w:color="auto" w:fill="CFF0FC"/>
          </w:tcPr>
          <w:p>
            <w:pPr>
              <w:spacing w:after="0"/>
              <w:rPr>
                <w:sz w:val="20"/>
                <w:szCs w:val="20"/>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514,304</w:t>
            </w:r>
          </w:p>
        </w:tc>
        <w:tc>
          <w:tcPr>
            <w:tcW w:w="240" w:type="dxa"/>
            <w:vAlign w:val="bottom"/>
            <w:tcBorders>
              <w:bottom w:val="single" w:sz="8" w:color="CFF0FC"/>
            </w:tcBorders>
            <w:shd w:val="clear" w:color="auto" w:fill="CFF0FC"/>
          </w:tcPr>
          <w:p>
            <w:pPr>
              <w:spacing w:after="0"/>
              <w:rPr>
                <w:sz w:val="20"/>
                <w:szCs w:val="20"/>
                <w:color w:val="auto"/>
              </w:rPr>
            </w:pPr>
          </w:p>
        </w:tc>
        <w:tc>
          <w:tcPr>
            <w:tcW w:w="200" w:type="dxa"/>
            <w:vAlign w:val="bottom"/>
            <w:tcBorders>
              <w:bottom w:val="single" w:sz="8" w:color="auto"/>
            </w:tcBorders>
            <w:shd w:val="clear" w:color="auto" w:fill="CFF0FC"/>
          </w:tcPr>
          <w:p>
            <w:pPr>
              <w:spacing w:after="0"/>
              <w:rPr>
                <w:sz w:val="20"/>
                <w:szCs w:val="20"/>
                <w:color w:val="auto"/>
              </w:rPr>
            </w:pPr>
          </w:p>
        </w:tc>
        <w:tc>
          <w:tcPr>
            <w:tcW w:w="10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128,048</w:t>
            </w:r>
          </w:p>
        </w:tc>
        <w:tc>
          <w:tcPr>
            <w:tcW w:w="240" w:type="dxa"/>
            <w:vAlign w:val="bottom"/>
            <w:tcBorders>
              <w:bottom w:val="single" w:sz="8" w:color="CFF0FC"/>
            </w:tcBorders>
            <w:shd w:val="clear" w:color="auto" w:fill="CFF0FC"/>
          </w:tcPr>
          <w:p>
            <w:pPr>
              <w:spacing w:after="0"/>
              <w:rPr>
                <w:sz w:val="20"/>
                <w:szCs w:val="20"/>
                <w:color w:val="auto"/>
              </w:rPr>
            </w:pPr>
          </w:p>
        </w:tc>
        <w:tc>
          <w:tcPr>
            <w:tcW w:w="180" w:type="dxa"/>
            <w:vAlign w:val="bottom"/>
            <w:tcBorders>
              <w:bottom w:val="single" w:sz="8" w:color="auto"/>
            </w:tcBorders>
            <w:shd w:val="clear" w:color="auto" w:fill="CFF0FC"/>
          </w:tcPr>
          <w:p>
            <w:pPr>
              <w:spacing w:after="0"/>
              <w:rPr>
                <w:sz w:val="20"/>
                <w:szCs w:val="20"/>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1,084,018</w:t>
            </w:r>
          </w:p>
        </w:tc>
        <w:tc>
          <w:tcPr>
            <w:tcW w:w="240" w:type="dxa"/>
            <w:vAlign w:val="bottom"/>
            <w:tcBorders>
              <w:bottom w:val="single" w:sz="8" w:color="CFF0FC"/>
            </w:tcBorders>
            <w:shd w:val="clear" w:color="auto" w:fill="CFF0FC"/>
          </w:tcPr>
          <w:p>
            <w:pPr>
              <w:spacing w:after="0"/>
              <w:rPr>
                <w:sz w:val="20"/>
                <w:szCs w:val="20"/>
                <w:color w:val="auto"/>
              </w:rPr>
            </w:pPr>
          </w:p>
        </w:tc>
        <w:tc>
          <w:tcPr>
            <w:tcW w:w="180" w:type="dxa"/>
            <w:vAlign w:val="bottom"/>
            <w:tcBorders>
              <w:bottom w:val="single" w:sz="8" w:color="auto"/>
            </w:tcBorders>
            <w:shd w:val="clear" w:color="auto" w:fill="CFF0FC"/>
          </w:tcPr>
          <w:p>
            <w:pPr>
              <w:spacing w:after="0"/>
              <w:rPr>
                <w:sz w:val="20"/>
                <w:szCs w:val="20"/>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362,316</w:t>
            </w:r>
          </w:p>
        </w:tc>
        <w:tc>
          <w:tcPr>
            <w:tcW w:w="100" w:type="dxa"/>
            <w:vAlign w:val="bottom"/>
            <w:tcBorders>
              <w:bottom w:val="single" w:sz="8" w:color="CFF0FC"/>
            </w:tcBorders>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4"/>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from operations</w:t>
            </w:r>
          </w:p>
        </w:tc>
        <w:tc>
          <w:tcPr>
            <w:tcW w:w="200" w:type="dxa"/>
            <w:vAlign w:val="bottom"/>
          </w:tcPr>
          <w:p>
            <w:pPr>
              <w:spacing w:after="0"/>
              <w:rPr>
                <w:sz w:val="20"/>
                <w:szCs w:val="20"/>
                <w:color w:val="auto"/>
              </w:rPr>
            </w:pP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(432,582 )</w:t>
            </w:r>
          </w:p>
        </w:tc>
        <w:tc>
          <w:tcPr>
            <w:tcW w:w="200" w:type="dxa"/>
            <w:vAlign w:val="bottom"/>
          </w:tcPr>
          <w:p>
            <w:pPr>
              <w:spacing w:after="0"/>
              <w:rPr>
                <w:sz w:val="20"/>
                <w:szCs w:val="20"/>
                <w:color w:val="auto"/>
              </w:rPr>
            </w:pPr>
          </w:p>
        </w:tc>
        <w:tc>
          <w:tcPr>
            <w:tcW w:w="12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(25,247 )</w:t>
            </w:r>
          </w:p>
        </w:tc>
        <w:tc>
          <w:tcPr>
            <w:tcW w:w="180" w:type="dxa"/>
            <w:vAlign w:val="bottom"/>
          </w:tcPr>
          <w:p>
            <w:pPr>
              <w:spacing w:after="0"/>
              <w:rPr>
                <w:sz w:val="20"/>
                <w:szCs w:val="20"/>
                <w:color w:val="auto"/>
              </w:rPr>
            </w:pPr>
          </w:p>
        </w:tc>
        <w:tc>
          <w:tcPr>
            <w:tcW w:w="12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(836,558 )</w:t>
            </w:r>
          </w:p>
        </w:tc>
        <w:tc>
          <w:tcPr>
            <w:tcW w:w="180" w:type="dxa"/>
            <w:vAlign w:val="bottom"/>
          </w:tcPr>
          <w:p>
            <w:pPr>
              <w:spacing w:after="0"/>
              <w:rPr>
                <w:sz w:val="20"/>
                <w:szCs w:val="20"/>
                <w:color w:val="auto"/>
              </w:rPr>
            </w:pPr>
          </w:p>
        </w:tc>
        <w:tc>
          <w:tcPr>
            <w:tcW w:w="112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(72,262 )</w:t>
            </w:r>
          </w:p>
        </w:tc>
        <w:tc>
          <w:tcPr>
            <w:tcW w:w="0" w:type="dxa"/>
            <w:vAlign w:val="bottom"/>
          </w:tcPr>
          <w:p>
            <w:pPr>
              <w:spacing w:after="0"/>
              <w:rPr>
                <w:sz w:val="1"/>
                <w:szCs w:val="1"/>
                <w:color w:val="auto"/>
              </w:rPr>
            </w:pPr>
          </w:p>
        </w:tc>
      </w:tr>
      <w:tr>
        <w:trPr>
          <w:trHeight w:val="245"/>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Interest expense, net</w:t>
            </w:r>
          </w:p>
        </w:tc>
        <w:tc>
          <w:tcPr>
            <w:tcW w:w="20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(18,129 )</w:t>
            </w:r>
          </w:p>
        </w:tc>
        <w:tc>
          <w:tcPr>
            <w:tcW w:w="200" w:type="dxa"/>
            <w:vAlign w:val="bottom"/>
            <w:shd w:val="clear" w:color="auto" w:fill="CFF0FC"/>
          </w:tcPr>
          <w:p>
            <w:pPr>
              <w:spacing w:after="0"/>
              <w:rPr>
                <w:sz w:val="21"/>
                <w:szCs w:val="21"/>
                <w:color w:val="auto"/>
              </w:rPr>
            </w:pPr>
          </w:p>
        </w:tc>
        <w:tc>
          <w:tcPr>
            <w:tcW w:w="12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(11,006 )</w:t>
            </w:r>
          </w:p>
        </w:tc>
        <w:tc>
          <w:tcPr>
            <w:tcW w:w="180" w:type="dxa"/>
            <w:vAlign w:val="bottom"/>
            <w:shd w:val="clear" w:color="auto" w:fill="CFF0FC"/>
          </w:tcPr>
          <w:p>
            <w:pPr>
              <w:spacing w:after="0"/>
              <w:rPr>
                <w:sz w:val="21"/>
                <w:szCs w:val="21"/>
                <w:color w:val="auto"/>
              </w:rPr>
            </w:pPr>
          </w:p>
        </w:tc>
        <w:tc>
          <w:tcPr>
            <w:tcW w:w="12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(45,476 )</w:t>
            </w:r>
          </w:p>
        </w:tc>
        <w:tc>
          <w:tcPr>
            <w:tcW w:w="180" w:type="dxa"/>
            <w:vAlign w:val="bottom"/>
            <w:shd w:val="clear" w:color="auto" w:fill="CFF0FC"/>
          </w:tcPr>
          <w:p>
            <w:pPr>
              <w:spacing w:after="0"/>
              <w:rPr>
                <w:sz w:val="21"/>
                <w:szCs w:val="21"/>
                <w:color w:val="auto"/>
              </w:rPr>
            </w:pP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(37,031 )</w:t>
            </w:r>
          </w:p>
        </w:tc>
        <w:tc>
          <w:tcPr>
            <w:tcW w:w="0" w:type="dxa"/>
            <w:vAlign w:val="bottom"/>
          </w:tcPr>
          <w:p>
            <w:pPr>
              <w:spacing w:after="0"/>
              <w:rPr>
                <w:sz w:val="1"/>
                <w:szCs w:val="1"/>
                <w:color w:val="auto"/>
              </w:rPr>
            </w:pPr>
          </w:p>
        </w:tc>
      </w:tr>
      <w:tr>
        <w:trPr>
          <w:trHeight w:val="239"/>
        </w:trPr>
        <w:tc>
          <w:tcPr>
            <w:tcW w:w="55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(Loss) gain on debt extinguishment</w:t>
            </w:r>
          </w:p>
        </w:tc>
        <w:tc>
          <w:tcPr>
            <w:tcW w:w="200" w:type="dxa"/>
            <w:vAlign w:val="bottom"/>
          </w:tcPr>
          <w:p>
            <w:pPr>
              <w:spacing w:after="0"/>
              <w:rPr>
                <w:sz w:val="20"/>
                <w:szCs w:val="20"/>
                <w:color w:val="auto"/>
              </w:rPr>
            </w:pP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(22,933 )</w:t>
            </w:r>
          </w:p>
        </w:tc>
        <w:tc>
          <w:tcPr>
            <w:tcW w:w="200" w:type="dxa"/>
            <w:vAlign w:val="bottom"/>
          </w:tcPr>
          <w:p>
            <w:pPr>
              <w:spacing w:after="0"/>
              <w:rPr>
                <w:sz w:val="20"/>
                <w:szCs w:val="20"/>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2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(22,933 )</w:t>
            </w:r>
          </w:p>
        </w:tc>
        <w:tc>
          <w:tcPr>
            <w:tcW w:w="180" w:type="dxa"/>
            <w:vAlign w:val="bottom"/>
          </w:tcPr>
          <w:p>
            <w:pPr>
              <w:spacing w:after="0"/>
              <w:rPr>
                <w:sz w:val="20"/>
                <w:szCs w:val="20"/>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Other (expense) income, net</w:t>
            </w:r>
          </w:p>
        </w:tc>
        <w:tc>
          <w:tcPr>
            <w:tcW w:w="20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(5,034 )</w:t>
            </w: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2,419</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2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(2,644 )</w:t>
            </w:r>
          </w:p>
        </w:tc>
        <w:tc>
          <w:tcPr>
            <w:tcW w:w="18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726</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558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4"/>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before income taxes</w:t>
            </w:r>
          </w:p>
        </w:tc>
        <w:tc>
          <w:tcPr>
            <w:tcW w:w="200" w:type="dxa"/>
            <w:vAlign w:val="bottom"/>
          </w:tcPr>
          <w:p>
            <w:pPr>
              <w:spacing w:after="0"/>
              <w:rPr>
                <w:sz w:val="20"/>
                <w:szCs w:val="20"/>
                <w:color w:val="auto"/>
              </w:rPr>
            </w:pP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(478,678 )</w:t>
            </w:r>
          </w:p>
        </w:tc>
        <w:tc>
          <w:tcPr>
            <w:tcW w:w="200" w:type="dxa"/>
            <w:vAlign w:val="bottom"/>
          </w:tcPr>
          <w:p>
            <w:pPr>
              <w:spacing w:after="0"/>
              <w:rPr>
                <w:sz w:val="20"/>
                <w:szCs w:val="20"/>
                <w:color w:val="auto"/>
              </w:rPr>
            </w:pPr>
          </w:p>
        </w:tc>
        <w:tc>
          <w:tcPr>
            <w:tcW w:w="12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(33,834 )</w:t>
            </w:r>
          </w:p>
        </w:tc>
        <w:tc>
          <w:tcPr>
            <w:tcW w:w="180" w:type="dxa"/>
            <w:vAlign w:val="bottom"/>
          </w:tcPr>
          <w:p>
            <w:pPr>
              <w:spacing w:after="0"/>
              <w:rPr>
                <w:sz w:val="20"/>
                <w:szCs w:val="20"/>
                <w:color w:val="auto"/>
              </w:rPr>
            </w:pPr>
          </w:p>
        </w:tc>
        <w:tc>
          <w:tcPr>
            <w:tcW w:w="12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(907,611 )</w:t>
            </w:r>
          </w:p>
        </w:tc>
        <w:tc>
          <w:tcPr>
            <w:tcW w:w="180" w:type="dxa"/>
            <w:vAlign w:val="bottom"/>
          </w:tcPr>
          <w:p>
            <w:pPr>
              <w:spacing w:after="0"/>
              <w:rPr>
                <w:sz w:val="20"/>
                <w:szCs w:val="20"/>
                <w:color w:val="auto"/>
              </w:rPr>
            </w:pPr>
          </w:p>
        </w:tc>
        <w:tc>
          <w:tcPr>
            <w:tcW w:w="112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(63,881 )</w:t>
            </w:r>
          </w:p>
        </w:tc>
        <w:tc>
          <w:tcPr>
            <w:tcW w:w="0" w:type="dxa"/>
            <w:vAlign w:val="bottom"/>
          </w:tcPr>
          <w:p>
            <w:pPr>
              <w:spacing w:after="0"/>
              <w:rPr>
                <w:sz w:val="1"/>
                <w:szCs w:val="1"/>
                <w:color w:val="auto"/>
              </w:rPr>
            </w:pPr>
          </w:p>
        </w:tc>
      </w:tr>
      <w:tr>
        <w:trPr>
          <w:trHeight w:val="245"/>
        </w:trPr>
        <w:tc>
          <w:tcPr>
            <w:tcW w:w="55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(Benefit from) provision for income taxes</w:t>
            </w:r>
          </w:p>
        </w:tc>
        <w:tc>
          <w:tcPr>
            <w:tcW w:w="20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(138,504 )</w:t>
            </w:r>
          </w:p>
        </w:tc>
        <w:tc>
          <w:tcPr>
            <w:tcW w:w="2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109,607</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2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(411,760 )</w:t>
            </w:r>
          </w:p>
        </w:tc>
        <w:tc>
          <w:tcPr>
            <w:tcW w:w="180" w:type="dxa"/>
            <w:vAlign w:val="bottom"/>
            <w:shd w:val="clear" w:color="auto" w:fill="CFF0FC"/>
          </w:tcPr>
          <w:p>
            <w:pPr>
              <w:spacing w:after="0"/>
              <w:rPr>
                <w:sz w:val="21"/>
                <w:szCs w:val="21"/>
                <w:color w:val="auto"/>
              </w:rPr>
            </w:pP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(403,876 )</w:t>
            </w:r>
          </w:p>
        </w:tc>
        <w:tc>
          <w:tcPr>
            <w:tcW w:w="0" w:type="dxa"/>
            <w:vAlign w:val="bottom"/>
          </w:tcPr>
          <w:p>
            <w:pPr>
              <w:spacing w:after="0"/>
              <w:rPr>
                <w:sz w:val="1"/>
                <w:szCs w:val="1"/>
                <w:color w:val="auto"/>
              </w:rPr>
            </w:pPr>
          </w:p>
        </w:tc>
      </w:tr>
      <w:tr>
        <w:trPr>
          <w:trHeight w:val="20"/>
        </w:trPr>
        <w:tc>
          <w:tcPr>
            <w:tcW w:w="558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6"/>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Net (loss) income</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(340,174 )</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(143,441 )</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(495,851 )</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339,995</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0"/>
        </w:trPr>
        <w:tc>
          <w:tcPr>
            <w:tcW w:w="558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77"/>
        </w:trPr>
        <w:tc>
          <w:tcPr>
            <w:tcW w:w="5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Basic (loss) earnings per share (1)</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(1.72 )</w:t>
            </w: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(1.01 )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(2.71 )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2.91</w:t>
            </w:r>
          </w:p>
        </w:tc>
        <w:tc>
          <w:tcPr>
            <w:tcW w:w="100" w:type="dxa"/>
            <w:vAlign w:val="bottom"/>
            <w:shd w:val="clear" w:color="auto" w:fill="CFF0FC"/>
          </w:tcPr>
          <w:p>
            <w:pPr>
              <w:spacing w:after="0"/>
              <w:rPr>
                <w:sz w:val="24"/>
                <w:szCs w:val="24"/>
                <w:color w:val="auto"/>
              </w:rPr>
            </w:pPr>
          </w:p>
        </w:tc>
        <w:tc>
          <w:tcPr>
            <w:tcW w:w="0" w:type="dxa"/>
            <w:vAlign w:val="bottom"/>
          </w:tcPr>
          <w:p>
            <w:pPr>
              <w:spacing w:after="0"/>
              <w:rPr>
                <w:sz w:val="1"/>
                <w:szCs w:val="1"/>
                <w:color w:val="auto"/>
              </w:rPr>
            </w:pPr>
          </w:p>
        </w:tc>
      </w:tr>
      <w:tr>
        <w:trPr>
          <w:trHeight w:val="192"/>
        </w:trPr>
        <w:tc>
          <w:tcPr>
            <w:tcW w:w="5580" w:type="dxa"/>
            <w:vAlign w:val="bottom"/>
            <w:tcBorders>
              <w:top w:val="single" w:sz="8" w:color="CFF0FC"/>
            </w:tcBorders>
          </w:tcPr>
          <w:p>
            <w:pPr>
              <w:ind w:left="20"/>
              <w:spacing w:after="0" w:line="192" w:lineRule="exact"/>
              <w:rPr>
                <w:sz w:val="20"/>
                <w:szCs w:val="20"/>
                <w:color w:val="auto"/>
              </w:rPr>
            </w:pPr>
            <w:r>
              <w:rPr>
                <w:rFonts w:ascii="Times New Roman" w:cs="Times New Roman" w:eastAsia="Times New Roman" w:hAnsi="Times New Roman"/>
                <w:sz w:val="18"/>
                <w:szCs w:val="18"/>
                <w:color w:val="auto"/>
              </w:rPr>
              <w:t>Weighted average shares outstanding used in computing basic (loss)</w:t>
            </w:r>
          </w:p>
        </w:tc>
        <w:tc>
          <w:tcPr>
            <w:tcW w:w="200" w:type="dxa"/>
            <w:vAlign w:val="bottom"/>
            <w:tcBorders>
              <w:top w:val="single" w:sz="8" w:color="auto"/>
            </w:tcBorders>
          </w:tcPr>
          <w:p>
            <w:pPr>
              <w:spacing w:after="0"/>
              <w:rPr>
                <w:sz w:val="16"/>
                <w:szCs w:val="16"/>
                <w:color w:val="auto"/>
              </w:rPr>
            </w:pPr>
          </w:p>
        </w:tc>
        <w:tc>
          <w:tcPr>
            <w:tcW w:w="104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197,273</w:t>
            </w:r>
          </w:p>
        </w:tc>
        <w:tc>
          <w:tcPr>
            <w:tcW w:w="240" w:type="dxa"/>
            <w:vAlign w:val="bottom"/>
            <w:tcBorders>
              <w:top w:val="single" w:sz="8" w:color="CFF0FC"/>
            </w:tcBorders>
          </w:tcPr>
          <w:p>
            <w:pPr>
              <w:spacing w:after="0"/>
              <w:rPr>
                <w:sz w:val="16"/>
                <w:szCs w:val="16"/>
                <w:color w:val="auto"/>
              </w:rPr>
            </w:pPr>
          </w:p>
        </w:tc>
        <w:tc>
          <w:tcPr>
            <w:tcW w:w="200" w:type="dxa"/>
            <w:vAlign w:val="bottom"/>
            <w:tcBorders>
              <w:top w:val="single" w:sz="8" w:color="auto"/>
            </w:tcBorders>
          </w:tcPr>
          <w:p>
            <w:pPr>
              <w:spacing w:after="0"/>
              <w:rPr>
                <w:sz w:val="16"/>
                <w:szCs w:val="16"/>
                <w:color w:val="auto"/>
              </w:rPr>
            </w:pPr>
          </w:p>
        </w:tc>
        <w:tc>
          <w:tcPr>
            <w:tcW w:w="100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142,214</w:t>
            </w:r>
          </w:p>
        </w:tc>
        <w:tc>
          <w:tcPr>
            <w:tcW w:w="240" w:type="dxa"/>
            <w:vAlign w:val="bottom"/>
            <w:tcBorders>
              <w:top w:val="single" w:sz="8" w:color="CFF0FC"/>
            </w:tcBorders>
          </w:tcPr>
          <w:p>
            <w:pPr>
              <w:spacing w:after="0"/>
              <w:rPr>
                <w:sz w:val="16"/>
                <w:szCs w:val="16"/>
                <w:color w:val="auto"/>
              </w:rPr>
            </w:pPr>
          </w:p>
        </w:tc>
        <w:tc>
          <w:tcPr>
            <w:tcW w:w="180" w:type="dxa"/>
            <w:vAlign w:val="bottom"/>
            <w:tcBorders>
              <w:top w:val="single" w:sz="8" w:color="auto"/>
            </w:tcBorders>
          </w:tcPr>
          <w:p>
            <w:pPr>
              <w:spacing w:after="0"/>
              <w:rPr>
                <w:sz w:val="16"/>
                <w:szCs w:val="16"/>
                <w:color w:val="auto"/>
              </w:rPr>
            </w:pPr>
          </w:p>
        </w:tc>
        <w:tc>
          <w:tcPr>
            <w:tcW w:w="10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182,695</w:t>
            </w:r>
          </w:p>
        </w:tc>
        <w:tc>
          <w:tcPr>
            <w:tcW w:w="240" w:type="dxa"/>
            <w:vAlign w:val="bottom"/>
            <w:tcBorders>
              <w:top w:val="single" w:sz="8" w:color="CFF0FC"/>
            </w:tcBorders>
          </w:tcPr>
          <w:p>
            <w:pPr>
              <w:spacing w:after="0"/>
              <w:rPr>
                <w:sz w:val="16"/>
                <w:szCs w:val="16"/>
                <w:color w:val="auto"/>
              </w:rPr>
            </w:pPr>
          </w:p>
        </w:tc>
        <w:tc>
          <w:tcPr>
            <w:tcW w:w="180" w:type="dxa"/>
            <w:vAlign w:val="bottom"/>
            <w:tcBorders>
              <w:top w:val="single" w:sz="8" w:color="auto"/>
            </w:tcBorders>
          </w:tcPr>
          <w:p>
            <w:pPr>
              <w:spacing w:after="0"/>
              <w:rPr>
                <w:sz w:val="16"/>
                <w:szCs w:val="16"/>
                <w:color w:val="auto"/>
              </w:rPr>
            </w:pPr>
          </w:p>
        </w:tc>
        <w:tc>
          <w:tcPr>
            <w:tcW w:w="10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116,648</w:t>
            </w:r>
          </w:p>
        </w:tc>
        <w:tc>
          <w:tcPr>
            <w:tcW w:w="100" w:type="dxa"/>
            <w:vAlign w:val="bottom"/>
            <w:tcBorders>
              <w:top w:val="single" w:sz="8" w:color="CFF0FC"/>
            </w:tcBorders>
          </w:tcPr>
          <w:p>
            <w:pPr>
              <w:spacing w:after="0"/>
              <w:rPr>
                <w:sz w:val="16"/>
                <w:szCs w:val="16"/>
                <w:color w:val="auto"/>
              </w:rPr>
            </w:pPr>
          </w:p>
        </w:tc>
        <w:tc>
          <w:tcPr>
            <w:tcW w:w="0" w:type="dxa"/>
            <w:vAlign w:val="bottom"/>
          </w:tcPr>
          <w:p>
            <w:pPr>
              <w:spacing w:after="0"/>
              <w:rPr>
                <w:sz w:val="1"/>
                <w:szCs w:val="1"/>
                <w:color w:val="auto"/>
              </w:rPr>
            </w:pPr>
          </w:p>
        </w:tc>
      </w:tr>
      <w:tr>
        <w:trPr>
          <w:trHeight w:val="207"/>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earnings per share</w:t>
            </w:r>
          </w:p>
        </w:tc>
        <w:tc>
          <w:tcPr>
            <w:tcW w:w="2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vMerge w:val="continue"/>
          </w:tcPr>
          <w:p>
            <w:pPr>
              <w:spacing w:after="0"/>
              <w:rPr>
                <w:sz w:val="18"/>
                <w:szCs w:val="18"/>
                <w:color w:val="auto"/>
              </w:rPr>
            </w:pPr>
          </w:p>
        </w:tc>
        <w:tc>
          <w:tcPr>
            <w:tcW w:w="240" w:type="dxa"/>
            <w:vAlign w:val="bottom"/>
          </w:tcPr>
          <w:p>
            <w:pPr>
              <w:spacing w:after="0"/>
              <w:rPr>
                <w:sz w:val="18"/>
                <w:szCs w:val="18"/>
                <w:color w:val="auto"/>
              </w:rPr>
            </w:pPr>
          </w:p>
        </w:tc>
        <w:tc>
          <w:tcPr>
            <w:tcW w:w="200" w:type="dxa"/>
            <w:vAlign w:val="bottom"/>
            <w:tcBorders>
              <w:bottom w:val="single" w:sz="8" w:color="auto"/>
            </w:tcBorders>
          </w:tcPr>
          <w:p>
            <w:pPr>
              <w:spacing w:after="0"/>
              <w:rPr>
                <w:sz w:val="18"/>
                <w:szCs w:val="18"/>
                <w:color w:val="auto"/>
              </w:rPr>
            </w:pPr>
          </w:p>
        </w:tc>
        <w:tc>
          <w:tcPr>
            <w:tcW w:w="1000" w:type="dxa"/>
            <w:vAlign w:val="bottom"/>
            <w:tcBorders>
              <w:bottom w:val="single" w:sz="8" w:color="auto"/>
            </w:tcBorders>
            <w:vMerge w:val="continue"/>
          </w:tcPr>
          <w:p>
            <w:pPr>
              <w:spacing w:after="0"/>
              <w:rPr>
                <w:sz w:val="18"/>
                <w:szCs w:val="18"/>
                <w:color w:val="auto"/>
              </w:rPr>
            </w:pPr>
          </w:p>
        </w:tc>
        <w:tc>
          <w:tcPr>
            <w:tcW w:w="24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vMerge w:val="continue"/>
          </w:tcPr>
          <w:p>
            <w:pPr>
              <w:spacing w:after="0"/>
              <w:rPr>
                <w:sz w:val="18"/>
                <w:szCs w:val="18"/>
                <w:color w:val="auto"/>
              </w:rPr>
            </w:pPr>
          </w:p>
        </w:tc>
        <w:tc>
          <w:tcPr>
            <w:tcW w:w="24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vMerge w:val="continue"/>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580" w:type="dxa"/>
            <w:vAlign w:val="bottom"/>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04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00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64"/>
        </w:trPr>
        <w:tc>
          <w:tcPr>
            <w:tcW w:w="5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Diluted (loss) earnings per share (1)</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(1.72 )</w:t>
            </w: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(1.01 )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(2.71 )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2.39</w:t>
            </w:r>
          </w:p>
        </w:tc>
        <w:tc>
          <w:tcPr>
            <w:tcW w:w="100" w:type="dxa"/>
            <w:vAlign w:val="bottom"/>
            <w:shd w:val="clear" w:color="auto" w:fill="CFF0FC"/>
          </w:tcPr>
          <w:p>
            <w:pPr>
              <w:spacing w:after="0"/>
              <w:rPr>
                <w:sz w:val="22"/>
                <w:szCs w:val="22"/>
                <w:color w:val="auto"/>
              </w:rPr>
            </w:pPr>
          </w:p>
        </w:tc>
        <w:tc>
          <w:tcPr>
            <w:tcW w:w="0" w:type="dxa"/>
            <w:vAlign w:val="bottom"/>
          </w:tcPr>
          <w:p>
            <w:pPr>
              <w:spacing w:after="0"/>
              <w:rPr>
                <w:sz w:val="1"/>
                <w:szCs w:val="1"/>
                <w:color w:val="auto"/>
              </w:rPr>
            </w:pPr>
          </w:p>
        </w:tc>
      </w:tr>
      <w:tr>
        <w:trPr>
          <w:trHeight w:val="192"/>
        </w:trPr>
        <w:tc>
          <w:tcPr>
            <w:tcW w:w="5580" w:type="dxa"/>
            <w:vAlign w:val="bottom"/>
            <w:tcBorders>
              <w:top w:val="single" w:sz="8" w:color="CFF0FC"/>
            </w:tcBorders>
          </w:tcPr>
          <w:p>
            <w:pPr>
              <w:ind w:left="20"/>
              <w:spacing w:after="0" w:line="192" w:lineRule="exact"/>
              <w:rPr>
                <w:sz w:val="20"/>
                <w:szCs w:val="20"/>
                <w:color w:val="auto"/>
              </w:rPr>
            </w:pPr>
            <w:r>
              <w:rPr>
                <w:rFonts w:ascii="Times New Roman" w:cs="Times New Roman" w:eastAsia="Times New Roman" w:hAnsi="Times New Roman"/>
                <w:sz w:val="18"/>
                <w:szCs w:val="18"/>
                <w:color w:val="auto"/>
              </w:rPr>
              <w:t>Weighted average shares outstanding used in computing diluted (loss)</w:t>
            </w:r>
          </w:p>
        </w:tc>
        <w:tc>
          <w:tcPr>
            <w:tcW w:w="200" w:type="dxa"/>
            <w:vAlign w:val="bottom"/>
            <w:tcBorders>
              <w:top w:val="single" w:sz="8" w:color="auto"/>
            </w:tcBorders>
          </w:tcPr>
          <w:p>
            <w:pPr>
              <w:spacing w:after="0"/>
              <w:rPr>
                <w:sz w:val="16"/>
                <w:szCs w:val="16"/>
                <w:color w:val="auto"/>
              </w:rPr>
            </w:pPr>
          </w:p>
        </w:tc>
        <w:tc>
          <w:tcPr>
            <w:tcW w:w="104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197,273</w:t>
            </w:r>
          </w:p>
        </w:tc>
        <w:tc>
          <w:tcPr>
            <w:tcW w:w="240" w:type="dxa"/>
            <w:vAlign w:val="bottom"/>
            <w:tcBorders>
              <w:top w:val="single" w:sz="8" w:color="CFF0FC"/>
            </w:tcBorders>
          </w:tcPr>
          <w:p>
            <w:pPr>
              <w:spacing w:after="0"/>
              <w:rPr>
                <w:sz w:val="16"/>
                <w:szCs w:val="16"/>
                <w:color w:val="auto"/>
              </w:rPr>
            </w:pPr>
          </w:p>
        </w:tc>
        <w:tc>
          <w:tcPr>
            <w:tcW w:w="200" w:type="dxa"/>
            <w:vAlign w:val="bottom"/>
            <w:tcBorders>
              <w:top w:val="single" w:sz="8" w:color="auto"/>
            </w:tcBorders>
          </w:tcPr>
          <w:p>
            <w:pPr>
              <w:spacing w:after="0"/>
              <w:rPr>
                <w:sz w:val="16"/>
                <w:szCs w:val="16"/>
                <w:color w:val="auto"/>
              </w:rPr>
            </w:pPr>
          </w:p>
        </w:tc>
        <w:tc>
          <w:tcPr>
            <w:tcW w:w="100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142,214</w:t>
            </w:r>
          </w:p>
        </w:tc>
        <w:tc>
          <w:tcPr>
            <w:tcW w:w="240" w:type="dxa"/>
            <w:vAlign w:val="bottom"/>
            <w:tcBorders>
              <w:top w:val="single" w:sz="8" w:color="CFF0FC"/>
            </w:tcBorders>
          </w:tcPr>
          <w:p>
            <w:pPr>
              <w:spacing w:after="0"/>
              <w:rPr>
                <w:sz w:val="16"/>
                <w:szCs w:val="16"/>
                <w:color w:val="auto"/>
              </w:rPr>
            </w:pPr>
          </w:p>
        </w:tc>
        <w:tc>
          <w:tcPr>
            <w:tcW w:w="180" w:type="dxa"/>
            <w:vAlign w:val="bottom"/>
            <w:tcBorders>
              <w:top w:val="single" w:sz="8" w:color="auto"/>
            </w:tcBorders>
          </w:tcPr>
          <w:p>
            <w:pPr>
              <w:spacing w:after="0"/>
              <w:rPr>
                <w:sz w:val="16"/>
                <w:szCs w:val="16"/>
                <w:color w:val="auto"/>
              </w:rPr>
            </w:pPr>
          </w:p>
        </w:tc>
        <w:tc>
          <w:tcPr>
            <w:tcW w:w="10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182,695</w:t>
            </w:r>
          </w:p>
        </w:tc>
        <w:tc>
          <w:tcPr>
            <w:tcW w:w="240" w:type="dxa"/>
            <w:vAlign w:val="bottom"/>
            <w:tcBorders>
              <w:top w:val="single" w:sz="8" w:color="CFF0FC"/>
            </w:tcBorders>
          </w:tcPr>
          <w:p>
            <w:pPr>
              <w:spacing w:after="0"/>
              <w:rPr>
                <w:sz w:val="16"/>
                <w:szCs w:val="16"/>
                <w:color w:val="auto"/>
              </w:rPr>
            </w:pPr>
          </w:p>
        </w:tc>
        <w:tc>
          <w:tcPr>
            <w:tcW w:w="180" w:type="dxa"/>
            <w:vAlign w:val="bottom"/>
            <w:tcBorders>
              <w:top w:val="single" w:sz="8" w:color="auto"/>
            </w:tcBorders>
          </w:tcPr>
          <w:p>
            <w:pPr>
              <w:spacing w:after="0"/>
              <w:rPr>
                <w:sz w:val="16"/>
                <w:szCs w:val="16"/>
                <w:color w:val="auto"/>
              </w:rPr>
            </w:pPr>
          </w:p>
        </w:tc>
        <w:tc>
          <w:tcPr>
            <w:tcW w:w="10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color w:val="auto"/>
              </w:rPr>
              <w:t>145,125</w:t>
            </w:r>
          </w:p>
        </w:tc>
        <w:tc>
          <w:tcPr>
            <w:tcW w:w="100" w:type="dxa"/>
            <w:vAlign w:val="bottom"/>
            <w:tcBorders>
              <w:top w:val="single" w:sz="8" w:color="CFF0FC"/>
            </w:tcBorders>
          </w:tcPr>
          <w:p>
            <w:pPr>
              <w:spacing w:after="0"/>
              <w:rPr>
                <w:sz w:val="16"/>
                <w:szCs w:val="16"/>
                <w:color w:val="auto"/>
              </w:rPr>
            </w:pPr>
          </w:p>
        </w:tc>
        <w:tc>
          <w:tcPr>
            <w:tcW w:w="0" w:type="dxa"/>
            <w:vAlign w:val="bottom"/>
          </w:tcPr>
          <w:p>
            <w:pPr>
              <w:spacing w:after="0"/>
              <w:rPr>
                <w:sz w:val="1"/>
                <w:szCs w:val="1"/>
                <w:color w:val="auto"/>
              </w:rPr>
            </w:pPr>
          </w:p>
        </w:tc>
      </w:tr>
      <w:tr>
        <w:trPr>
          <w:trHeight w:val="207"/>
        </w:trPr>
        <w:tc>
          <w:tcPr>
            <w:tcW w:w="55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earnings per share</w:t>
            </w:r>
          </w:p>
        </w:tc>
        <w:tc>
          <w:tcPr>
            <w:tcW w:w="2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vMerge w:val="continue"/>
          </w:tcPr>
          <w:p>
            <w:pPr>
              <w:spacing w:after="0"/>
              <w:rPr>
                <w:sz w:val="18"/>
                <w:szCs w:val="18"/>
                <w:color w:val="auto"/>
              </w:rPr>
            </w:pPr>
          </w:p>
        </w:tc>
        <w:tc>
          <w:tcPr>
            <w:tcW w:w="240" w:type="dxa"/>
            <w:vAlign w:val="bottom"/>
          </w:tcPr>
          <w:p>
            <w:pPr>
              <w:spacing w:after="0"/>
              <w:rPr>
                <w:sz w:val="18"/>
                <w:szCs w:val="18"/>
                <w:color w:val="auto"/>
              </w:rPr>
            </w:pPr>
          </w:p>
        </w:tc>
        <w:tc>
          <w:tcPr>
            <w:tcW w:w="200" w:type="dxa"/>
            <w:vAlign w:val="bottom"/>
            <w:tcBorders>
              <w:bottom w:val="single" w:sz="8" w:color="auto"/>
            </w:tcBorders>
          </w:tcPr>
          <w:p>
            <w:pPr>
              <w:spacing w:after="0"/>
              <w:rPr>
                <w:sz w:val="18"/>
                <w:szCs w:val="18"/>
                <w:color w:val="auto"/>
              </w:rPr>
            </w:pPr>
          </w:p>
        </w:tc>
        <w:tc>
          <w:tcPr>
            <w:tcW w:w="1000" w:type="dxa"/>
            <w:vAlign w:val="bottom"/>
            <w:tcBorders>
              <w:bottom w:val="single" w:sz="8" w:color="auto"/>
            </w:tcBorders>
            <w:vMerge w:val="continue"/>
          </w:tcPr>
          <w:p>
            <w:pPr>
              <w:spacing w:after="0"/>
              <w:rPr>
                <w:sz w:val="18"/>
                <w:szCs w:val="18"/>
                <w:color w:val="auto"/>
              </w:rPr>
            </w:pPr>
          </w:p>
        </w:tc>
        <w:tc>
          <w:tcPr>
            <w:tcW w:w="24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vMerge w:val="continue"/>
          </w:tcPr>
          <w:p>
            <w:pPr>
              <w:spacing w:after="0"/>
              <w:rPr>
                <w:sz w:val="18"/>
                <w:szCs w:val="18"/>
                <w:color w:val="auto"/>
              </w:rPr>
            </w:pPr>
          </w:p>
        </w:tc>
        <w:tc>
          <w:tcPr>
            <w:tcW w:w="24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vMerge w:val="continue"/>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580" w:type="dxa"/>
            <w:vAlign w:val="bottom"/>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04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00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4325620</wp:posOffset>
            </wp:positionH>
            <wp:positionV relativeFrom="paragraph">
              <wp:posOffset>-4902835</wp:posOffset>
            </wp:positionV>
            <wp:extent cx="77470" cy="889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-4902835</wp:posOffset>
            </wp:positionV>
            <wp:extent cx="68580" cy="889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-4902835</wp:posOffset>
            </wp:positionV>
            <wp:extent cx="68580" cy="889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-4902835</wp:posOffset>
            </wp:positionV>
            <wp:extent cx="68580" cy="889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-4268470</wp:posOffset>
            </wp:positionV>
            <wp:extent cx="77470" cy="825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-4268470</wp:posOffset>
            </wp:positionV>
            <wp:extent cx="68580" cy="825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-4268470</wp:posOffset>
            </wp:positionV>
            <wp:extent cx="68580" cy="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-4268470</wp:posOffset>
            </wp:positionV>
            <wp:extent cx="68580" cy="825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-3325495</wp:posOffset>
            </wp:positionV>
            <wp:extent cx="77470" cy="825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-3325495</wp:posOffset>
            </wp:positionV>
            <wp:extent cx="68580" cy="825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-3325495</wp:posOffset>
            </wp:positionV>
            <wp:extent cx="68580" cy="825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-3325495</wp:posOffset>
            </wp:positionV>
            <wp:extent cx="68580" cy="825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-2999740</wp:posOffset>
            </wp:positionV>
            <wp:extent cx="77470" cy="825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-2999740</wp:posOffset>
            </wp:positionV>
            <wp:extent cx="68580" cy="825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-2999740</wp:posOffset>
            </wp:positionV>
            <wp:extent cx="68580" cy="825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-2999740</wp:posOffset>
            </wp:positionV>
            <wp:extent cx="68580" cy="825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-2056765</wp:posOffset>
            </wp:positionV>
            <wp:extent cx="77470" cy="825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-2056765</wp:posOffset>
            </wp:positionV>
            <wp:extent cx="68580" cy="825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-2056765</wp:posOffset>
            </wp:positionV>
            <wp:extent cx="68580" cy="825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-2056765</wp:posOffset>
            </wp:positionV>
            <wp:extent cx="68580" cy="825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-1430655</wp:posOffset>
            </wp:positionV>
            <wp:extent cx="77470" cy="825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-1430655</wp:posOffset>
            </wp:positionV>
            <wp:extent cx="68580" cy="825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-1430655</wp:posOffset>
            </wp:positionV>
            <wp:extent cx="68580" cy="825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-1430655</wp:posOffset>
            </wp:positionV>
            <wp:extent cx="68580" cy="825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-1113790</wp:posOffset>
            </wp:positionV>
            <wp:extent cx="77470" cy="825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-1113790</wp:posOffset>
            </wp:positionV>
            <wp:extent cx="68580" cy="825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-1113790</wp:posOffset>
            </wp:positionV>
            <wp:extent cx="68580" cy="825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-1113790</wp:posOffset>
            </wp:positionV>
            <wp:extent cx="68580" cy="825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-788035</wp:posOffset>
            </wp:positionV>
            <wp:extent cx="77470" cy="825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-770890</wp:posOffset>
            </wp:positionV>
            <wp:extent cx="77470" cy="889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-788035</wp:posOffset>
            </wp:positionV>
            <wp:extent cx="68580" cy="825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-770890</wp:posOffset>
            </wp:positionV>
            <wp:extent cx="68580" cy="889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-788035</wp:posOffset>
            </wp:positionV>
            <wp:extent cx="68580" cy="825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-770890</wp:posOffset>
            </wp:positionV>
            <wp:extent cx="68580" cy="889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-788035</wp:posOffset>
            </wp:positionV>
            <wp:extent cx="68580" cy="825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-770890</wp:posOffset>
            </wp:positionV>
            <wp:extent cx="68580" cy="889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-316230</wp:posOffset>
            </wp:positionV>
            <wp:extent cx="77470" cy="825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4325620</wp:posOffset>
            </wp:positionH>
            <wp:positionV relativeFrom="paragraph">
              <wp:posOffset>-299720</wp:posOffset>
            </wp:positionV>
            <wp:extent cx="77470" cy="889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-316230</wp:posOffset>
            </wp:positionV>
            <wp:extent cx="68580" cy="825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5251450</wp:posOffset>
            </wp:positionH>
            <wp:positionV relativeFrom="paragraph">
              <wp:posOffset>-299720</wp:posOffset>
            </wp:positionV>
            <wp:extent cx="68580" cy="889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-316230</wp:posOffset>
            </wp:positionV>
            <wp:extent cx="68580" cy="825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6160135</wp:posOffset>
            </wp:positionH>
            <wp:positionV relativeFrom="paragraph">
              <wp:posOffset>-299720</wp:posOffset>
            </wp:positionV>
            <wp:extent cx="68580" cy="889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-316230</wp:posOffset>
            </wp:positionV>
            <wp:extent cx="68580" cy="825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-299720</wp:posOffset>
            </wp:positionV>
            <wp:extent cx="68580" cy="889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178" w:lineRule="exact"/>
        <w:rPr>
          <w:sz w:val="20"/>
          <w:szCs w:val="20"/>
          <w:color w:val="auto"/>
        </w:rPr>
      </w:pPr>
    </w:p>
    <w:p>
      <w:pPr>
        <w:spacing w:after="0"/>
        <w:tabs>
          <w:tab w:leader="none" w:pos="340" w:val="left"/>
        </w:tabs>
        <w:rPr>
          <w:sz w:val="20"/>
          <w:szCs w:val="20"/>
          <w:color w:val="auto"/>
        </w:rPr>
      </w:pPr>
      <w:r>
        <w:rPr>
          <w:rFonts w:ascii="Times New Roman" w:cs="Times New Roman" w:eastAsia="Times New Roman" w:hAnsi="Times New Roman"/>
          <w:sz w:val="18"/>
          <w:szCs w:val="18"/>
          <w:color w:val="auto"/>
        </w:rPr>
        <w:t>(1)</w:t>
        <w:tab/>
        <w:t>Basic and fully diluted (loss) earnings per share for class A and class B common stock are the same.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638810</wp:posOffset>
            </wp:positionV>
            <wp:extent cx="7157720" cy="4254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8" w:name="page9"/>
    <w:bookmarkEnd w:id="8"/>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BALANCE SHEETS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120" w:type="dxa"/>
            <w:vAlign w:val="bottom"/>
          </w:tcPr>
          <w:p>
            <w:pPr>
              <w:spacing w:after="0"/>
              <w:rPr>
                <w:sz w:val="15"/>
                <w:szCs w:val="15"/>
                <w:color w:val="auto"/>
              </w:rPr>
            </w:pPr>
          </w:p>
        </w:tc>
        <w:tc>
          <w:tcPr>
            <w:tcW w:w="7480" w:type="dxa"/>
            <w:vAlign w:val="bottom"/>
          </w:tcPr>
          <w:p>
            <w:pPr>
              <w:spacing w:after="0"/>
              <w:rPr>
                <w:sz w:val="15"/>
                <w:szCs w:val="15"/>
                <w:color w:val="auto"/>
              </w:rPr>
            </w:pPr>
          </w:p>
        </w:tc>
        <w:tc>
          <w:tcPr>
            <w:tcW w:w="240" w:type="dxa"/>
            <w:vAlign w:val="bottom"/>
          </w:tcPr>
          <w:p>
            <w:pPr>
              <w:spacing w:after="0"/>
              <w:rPr>
                <w:sz w:val="15"/>
                <w:szCs w:val="15"/>
                <w:color w:val="auto"/>
              </w:rPr>
            </w:pPr>
          </w:p>
        </w:tc>
        <w:tc>
          <w:tcPr>
            <w:tcW w:w="1680" w:type="dxa"/>
            <w:vAlign w:val="bottom"/>
            <w:gridSpan w:val="2"/>
          </w:tcPr>
          <w:p>
            <w:pPr>
              <w:jc w:val="center"/>
              <w:ind w:right="52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240" w:type="dxa"/>
            <w:vAlign w:val="bottom"/>
          </w:tcPr>
          <w:p>
            <w:pPr>
              <w:spacing w:after="0"/>
              <w:rPr>
                <w:sz w:val="15"/>
                <w:szCs w:val="15"/>
                <w:color w:val="auto"/>
              </w:rPr>
            </w:pPr>
          </w:p>
        </w:tc>
        <w:tc>
          <w:tcPr>
            <w:tcW w:w="1480" w:type="dxa"/>
            <w:vAlign w:val="bottom"/>
            <w:gridSpan w:val="2"/>
          </w:tcPr>
          <w:p>
            <w:pPr>
              <w:jc w:val="right"/>
              <w:ind w:right="50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87"/>
        </w:trPr>
        <w:tc>
          <w:tcPr>
            <w:tcW w:w="120" w:type="dxa"/>
            <w:vAlign w:val="bottom"/>
          </w:tcPr>
          <w:p>
            <w:pPr>
              <w:spacing w:after="0"/>
              <w:rPr>
                <w:sz w:val="16"/>
                <w:szCs w:val="16"/>
                <w:color w:val="auto"/>
              </w:rPr>
            </w:pPr>
          </w:p>
        </w:tc>
        <w:tc>
          <w:tcPr>
            <w:tcW w:w="7480" w:type="dxa"/>
            <w:vAlign w:val="bottom"/>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1400" w:type="dxa"/>
            <w:vAlign w:val="bottom"/>
            <w:tcBorders>
              <w:bottom w:val="single" w:sz="8" w:color="auto"/>
            </w:tcBorders>
          </w:tcPr>
          <w:p>
            <w:pPr>
              <w:jc w:val="center"/>
              <w:ind w:right="152"/>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80" w:type="dxa"/>
            <w:vAlign w:val="bottom"/>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1380" w:type="dxa"/>
            <w:vAlign w:val="bottom"/>
            <w:tcBorders>
              <w:bottom w:val="single" w:sz="8" w:color="auto"/>
            </w:tcBorders>
          </w:tcPr>
          <w:p>
            <w:pPr>
              <w:jc w:val="right"/>
              <w:ind w:right="55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6"/>
                <w:szCs w:val="16"/>
                <w:color w:val="auto"/>
              </w:rPr>
            </w:pPr>
          </w:p>
        </w:tc>
      </w:tr>
      <w:tr>
        <w:trPr>
          <w:trHeight w:val="169"/>
        </w:trPr>
        <w:tc>
          <w:tcPr>
            <w:tcW w:w="120" w:type="dxa"/>
            <w:vAlign w:val="bottom"/>
          </w:tcPr>
          <w:p>
            <w:pPr>
              <w:spacing w:after="0"/>
              <w:rPr>
                <w:sz w:val="14"/>
                <w:szCs w:val="14"/>
                <w:color w:val="auto"/>
              </w:rPr>
            </w:pPr>
          </w:p>
        </w:tc>
        <w:tc>
          <w:tcPr>
            <w:tcW w:w="748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1400" w:type="dxa"/>
            <w:vAlign w:val="bottom"/>
          </w:tcPr>
          <w:p>
            <w:pPr>
              <w:jc w:val="center"/>
              <w:ind w:right="132"/>
              <w:spacing w:after="0"/>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1380" w:type="dxa"/>
            <w:vAlign w:val="bottom"/>
          </w:tcPr>
          <w:p>
            <w:pPr>
              <w:spacing w:after="0"/>
              <w:rPr>
                <w:sz w:val="14"/>
                <w:szCs w:val="14"/>
                <w:color w:val="auto"/>
              </w:rPr>
            </w:pPr>
          </w:p>
        </w:tc>
        <w:tc>
          <w:tcPr>
            <w:tcW w:w="100" w:type="dxa"/>
            <w:vAlign w:val="bottom"/>
          </w:tcPr>
          <w:p>
            <w:pPr>
              <w:spacing w:after="0"/>
              <w:rPr>
                <w:sz w:val="14"/>
                <w:szCs w:val="14"/>
                <w:color w:val="auto"/>
              </w:rPr>
            </w:pPr>
          </w:p>
        </w:tc>
      </w:tr>
      <w:tr>
        <w:trPr>
          <w:trHeight w:val="243"/>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Assets</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Current assets</w:t>
            </w:r>
          </w:p>
        </w:tc>
        <w:tc>
          <w:tcPr>
            <w:tcW w:w="240" w:type="dxa"/>
            <w:vAlign w:val="bottom"/>
          </w:tcPr>
          <w:p>
            <w:pPr>
              <w:spacing w:after="0"/>
              <w:rPr>
                <w:sz w:val="20"/>
                <w:szCs w:val="20"/>
                <w:color w:val="auto"/>
              </w:rPr>
            </w:pPr>
          </w:p>
        </w:tc>
        <w:tc>
          <w:tcPr>
            <w:tcW w:w="14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7"/>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Cash and cash equivalents</w:t>
            </w:r>
          </w:p>
        </w:tc>
        <w:tc>
          <w:tcPr>
            <w:tcW w:w="24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rPr>
              <w:t>$</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46,343</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46,817</w:t>
            </w:r>
          </w:p>
        </w:tc>
        <w:tc>
          <w:tcPr>
            <w:tcW w:w="100" w:type="dxa"/>
            <w:vAlign w:val="bottom"/>
            <w:shd w:val="clear" w:color="auto" w:fill="CFF0FC"/>
          </w:tcPr>
          <w:p>
            <w:pPr>
              <w:spacing w:after="0"/>
              <w:rPr>
                <w:sz w:val="21"/>
                <w:szCs w:val="21"/>
                <w:color w:val="auto"/>
              </w:rPr>
            </w:pP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Restricted cash</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1,862</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1,856</w:t>
            </w:r>
          </w:p>
        </w:tc>
        <w:tc>
          <w:tcPr>
            <w:tcW w:w="100" w:type="dxa"/>
            <w:vAlign w:val="bottom"/>
          </w:tcPr>
          <w:p>
            <w:pPr>
              <w:spacing w:after="0"/>
              <w:rPr>
                <w:sz w:val="20"/>
                <w:szCs w:val="20"/>
                <w:color w:val="auto"/>
              </w:rPr>
            </w:pPr>
          </w:p>
        </w:tc>
      </w:tr>
      <w:tr>
        <w:trPr>
          <w:trHeight w:val="247"/>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Accounts receivable, net</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107,169</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183,815</w:t>
            </w:r>
          </w:p>
        </w:tc>
        <w:tc>
          <w:tcPr>
            <w:tcW w:w="100" w:type="dxa"/>
            <w:vAlign w:val="bottom"/>
            <w:shd w:val="clear" w:color="auto" w:fill="CFF0FC"/>
          </w:tcPr>
          <w:p>
            <w:pPr>
              <w:spacing w:after="0"/>
              <w:rPr>
                <w:sz w:val="21"/>
                <w:szCs w:val="21"/>
                <w:color w:val="auto"/>
              </w:rPr>
            </w:pP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Prepaid expenses and other current assets</w:t>
            </w:r>
          </w:p>
        </w:tc>
        <w:tc>
          <w:tcPr>
            <w:tcW w:w="240" w:type="dxa"/>
            <w:vAlign w:val="bottom"/>
            <w:tcBorders>
              <w:bottom w:val="single" w:sz="8" w:color="auto"/>
            </w:tcBorders>
          </w:tcPr>
          <w:p>
            <w:pPr>
              <w:spacing w:after="0"/>
              <w:rPr>
                <w:sz w:val="20"/>
                <w:szCs w:val="20"/>
                <w:color w:val="auto"/>
              </w:rPr>
            </w:pP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30,668</w:t>
            </w:r>
          </w:p>
        </w:tc>
        <w:tc>
          <w:tcPr>
            <w:tcW w:w="280" w:type="dxa"/>
            <w:vAlign w:val="bottom"/>
          </w:tcPr>
          <w:p>
            <w:pPr>
              <w:spacing w:after="0"/>
              <w:rPr>
                <w:sz w:val="20"/>
                <w:szCs w:val="20"/>
                <w:color w:val="auto"/>
              </w:rPr>
            </w:pPr>
          </w:p>
        </w:tc>
        <w:tc>
          <w:tcPr>
            <w:tcW w:w="240" w:type="dxa"/>
            <w:vAlign w:val="bottom"/>
            <w:tcBorders>
              <w:bottom w:val="single" w:sz="8" w:color="auto"/>
            </w:tcBorders>
          </w:tcPr>
          <w:p>
            <w:pPr>
              <w:spacing w:after="0"/>
              <w:rPr>
                <w:sz w:val="20"/>
                <w:szCs w:val="20"/>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35,407</w:t>
            </w:r>
          </w:p>
        </w:tc>
        <w:tc>
          <w:tcPr>
            <w:tcW w:w="100" w:type="dxa"/>
            <w:vAlign w:val="bottom"/>
          </w:tcPr>
          <w:p>
            <w:pPr>
              <w:spacing w:after="0"/>
              <w:rPr>
                <w:sz w:val="20"/>
                <w:szCs w:val="20"/>
                <w:color w:val="auto"/>
              </w:rPr>
            </w:pPr>
          </w:p>
        </w:tc>
      </w:tr>
      <w:tr>
        <w:trPr>
          <w:trHeight w:val="241"/>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current assets</w:t>
            </w:r>
          </w:p>
        </w:tc>
        <w:tc>
          <w:tcPr>
            <w:tcW w:w="240" w:type="dxa"/>
            <w:vAlign w:val="bottom"/>
            <w:shd w:val="clear" w:color="auto" w:fill="CFF0FC"/>
          </w:tcPr>
          <w:p>
            <w:pPr>
              <w:spacing w:after="0"/>
              <w:rPr>
                <w:sz w:val="20"/>
                <w:szCs w:val="20"/>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186,042</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267,895</w:t>
            </w:r>
          </w:p>
        </w:tc>
        <w:tc>
          <w:tcPr>
            <w:tcW w:w="100" w:type="dxa"/>
            <w:vAlign w:val="bottom"/>
            <w:shd w:val="clear" w:color="auto" w:fill="CFF0FC"/>
          </w:tcPr>
          <w:p>
            <w:pPr>
              <w:spacing w:after="0"/>
              <w:rPr>
                <w:sz w:val="20"/>
                <w:szCs w:val="20"/>
                <w:color w:val="auto"/>
              </w:rPr>
            </w:pPr>
          </w:p>
        </w:tc>
      </w:tr>
      <w:tr>
        <w:trPr>
          <w:trHeight w:val="243"/>
        </w:trPr>
        <w:tc>
          <w:tcPr>
            <w:tcW w:w="7600" w:type="dxa"/>
            <w:vAlign w:val="bottom"/>
            <w:gridSpan w:val="2"/>
          </w:tcPr>
          <w:p>
            <w:pPr>
              <w:spacing w:after="0"/>
              <w:rPr>
                <w:sz w:val="21"/>
                <w:szCs w:val="21"/>
                <w:color w:val="auto"/>
              </w:rPr>
            </w:pPr>
          </w:p>
        </w:tc>
        <w:tc>
          <w:tcPr>
            <w:tcW w:w="240" w:type="dxa"/>
            <w:vAlign w:val="bottom"/>
          </w:tcPr>
          <w:p>
            <w:pPr>
              <w:spacing w:after="0"/>
              <w:rPr>
                <w:sz w:val="21"/>
                <w:szCs w:val="21"/>
                <w:color w:val="auto"/>
              </w:rPr>
            </w:pPr>
          </w:p>
        </w:tc>
        <w:tc>
          <w:tcPr>
            <w:tcW w:w="140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38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43"/>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Digital assets</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6,850,879</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3,626,476</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Property and equipment, net</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27,517</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28,941</w:t>
            </w:r>
          </w:p>
        </w:tc>
        <w:tc>
          <w:tcPr>
            <w:tcW w:w="100" w:type="dxa"/>
            <w:vAlign w:val="bottom"/>
          </w:tcPr>
          <w:p>
            <w:pPr>
              <w:spacing w:after="0"/>
              <w:rPr>
                <w:sz w:val="20"/>
                <w:szCs w:val="20"/>
                <w:color w:val="auto"/>
              </w:rPr>
            </w:pPr>
          </w:p>
        </w:tc>
      </w:tr>
      <w:tr>
        <w:trPr>
          <w:trHeight w:val="247"/>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Right-of-use assets</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55,308</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57,343</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Deposits and other assets</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51,109</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24,300</w:t>
            </w:r>
          </w:p>
        </w:tc>
        <w:tc>
          <w:tcPr>
            <w:tcW w:w="100" w:type="dxa"/>
            <w:vAlign w:val="bottom"/>
          </w:tcPr>
          <w:p>
            <w:pPr>
              <w:spacing w:after="0"/>
              <w:rPr>
                <w:sz w:val="20"/>
                <w:szCs w:val="20"/>
                <w:color w:val="auto"/>
              </w:rPr>
            </w:pPr>
          </w:p>
        </w:tc>
      </w:tr>
      <w:tr>
        <w:trPr>
          <w:trHeight w:val="243"/>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tax assets, net</w:t>
            </w:r>
          </w:p>
        </w:tc>
        <w:tc>
          <w:tcPr>
            <w:tcW w:w="240" w:type="dxa"/>
            <w:vAlign w:val="bottom"/>
            <w:tcBorders>
              <w:bottom w:val="single" w:sz="8" w:color="auto"/>
            </w:tcBorders>
            <w:shd w:val="clear" w:color="auto" w:fill="CFF0FC"/>
          </w:tcPr>
          <w:p>
            <w:pPr>
              <w:spacing w:after="0"/>
              <w:rPr>
                <w:sz w:val="21"/>
                <w:szCs w:val="21"/>
                <w:color w:val="auto"/>
              </w:rPr>
            </w:pPr>
          </w:p>
        </w:tc>
        <w:tc>
          <w:tcPr>
            <w:tcW w:w="1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1,172,726</w:t>
            </w:r>
          </w:p>
        </w:tc>
        <w:tc>
          <w:tcPr>
            <w:tcW w:w="280" w:type="dxa"/>
            <w:vAlign w:val="bottom"/>
            <w:tcBorders>
              <w:bottom w:val="single" w:sz="8" w:color="CFF0FC"/>
            </w:tcBorders>
            <w:shd w:val="clear" w:color="auto" w:fill="CFF0FC"/>
          </w:tcPr>
          <w:p>
            <w:pPr>
              <w:spacing w:after="0"/>
              <w:rPr>
                <w:sz w:val="21"/>
                <w:szCs w:val="21"/>
                <w:color w:val="auto"/>
              </w:rPr>
            </w:pPr>
          </w:p>
        </w:tc>
        <w:tc>
          <w:tcPr>
            <w:tcW w:w="240" w:type="dxa"/>
            <w:vAlign w:val="bottom"/>
            <w:tcBorders>
              <w:bottom w:val="single" w:sz="8" w:color="auto"/>
            </w:tcBorders>
            <w:shd w:val="clear" w:color="auto" w:fill="CFF0FC"/>
          </w:tcPr>
          <w:p>
            <w:pPr>
              <w:spacing w:after="0"/>
              <w:rPr>
                <w:sz w:val="21"/>
                <w:szCs w:val="21"/>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757,573</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8"/>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Total Assets</w:t>
            </w:r>
          </w:p>
        </w:tc>
        <w:tc>
          <w:tcPr>
            <w:tcW w:w="240" w:type="dxa"/>
            <w:vAlign w:val="bottom"/>
            <w:tcBorders>
              <w:bottom w:val="single" w:sz="8" w:color="auto"/>
            </w:tcBorders>
          </w:tcPr>
          <w:p>
            <w:pPr>
              <w:jc w:val="right"/>
              <w:ind w:right="30"/>
              <w:spacing w:after="0"/>
              <w:rPr>
                <w:sz w:val="20"/>
                <w:szCs w:val="20"/>
                <w:color w:val="auto"/>
              </w:rPr>
            </w:pPr>
            <w:r>
              <w:rPr>
                <w:rFonts w:ascii="Times New Roman" w:cs="Times New Roman" w:eastAsia="Times New Roman" w:hAnsi="Times New Roman"/>
                <w:sz w:val="18"/>
                <w:szCs w:val="18"/>
                <w:b w:val="1"/>
                <w:bCs w:val="1"/>
                <w:color w:val="auto"/>
              </w:rPr>
              <w:t>$</w:t>
            </w: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8,343,581</w:t>
            </w:r>
          </w:p>
        </w:tc>
        <w:tc>
          <w:tcPr>
            <w:tcW w:w="280" w:type="dxa"/>
            <w:vAlign w:val="bottom"/>
          </w:tcPr>
          <w:p>
            <w:pPr>
              <w:spacing w:after="0"/>
              <w:rPr>
                <w:sz w:val="20"/>
                <w:szCs w:val="20"/>
                <w:color w:val="auto"/>
              </w:rPr>
            </w:pPr>
          </w:p>
        </w:tc>
        <w:tc>
          <w:tcPr>
            <w:tcW w:w="240" w:type="dxa"/>
            <w:vAlign w:val="bottom"/>
            <w:tcBorders>
              <w:bottom w:val="single" w:sz="8" w:color="auto"/>
            </w:tcBorders>
          </w:tcPr>
          <w:p>
            <w:pPr>
              <w:jc w:val="right"/>
              <w:ind w:right="5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4,762,528</w:t>
            </w:r>
          </w:p>
        </w:tc>
        <w:tc>
          <w:tcPr>
            <w:tcW w:w="100" w:type="dxa"/>
            <w:vAlign w:val="bottom"/>
          </w:tcPr>
          <w:p>
            <w:pPr>
              <w:spacing w:after="0"/>
              <w:rPr>
                <w:sz w:val="20"/>
                <w:szCs w:val="20"/>
                <w:color w:val="auto"/>
              </w:rPr>
            </w:pPr>
          </w:p>
        </w:tc>
      </w:tr>
      <w:tr>
        <w:trPr>
          <w:trHeight w:val="20"/>
        </w:trPr>
        <w:tc>
          <w:tcPr>
            <w:tcW w:w="120" w:type="dxa"/>
            <w:vAlign w:val="bottom"/>
          </w:tcPr>
          <w:p>
            <w:pPr>
              <w:spacing w:after="0" w:line="20" w:lineRule="exact"/>
              <w:rPr>
                <w:sz w:val="1"/>
                <w:szCs w:val="1"/>
                <w:color w:val="auto"/>
              </w:rPr>
            </w:pPr>
          </w:p>
        </w:tc>
        <w:tc>
          <w:tcPr>
            <w:tcW w:w="7480" w:type="dxa"/>
            <w:vAlign w:val="bottom"/>
          </w:tcPr>
          <w:p>
            <w:pPr>
              <w:spacing w:after="0" w:line="20" w:lineRule="exact"/>
              <w:rPr>
                <w:sz w:val="1"/>
                <w:szCs w:val="1"/>
                <w:color w:val="auto"/>
              </w:rPr>
            </w:pPr>
          </w:p>
        </w:tc>
        <w:tc>
          <w:tcPr>
            <w:tcW w:w="240" w:type="dxa"/>
            <w:vAlign w:val="bottom"/>
            <w:tcBorders>
              <w:bottom w:val="single" w:sz="8" w:color="auto"/>
            </w:tcBorders>
          </w:tcPr>
          <w:p>
            <w:pPr>
              <w:spacing w:after="0" w:line="20" w:lineRule="exact"/>
              <w:rPr>
                <w:sz w:val="1"/>
                <w:szCs w:val="1"/>
                <w:color w:val="auto"/>
              </w:rPr>
            </w:pPr>
          </w:p>
        </w:tc>
        <w:tc>
          <w:tcPr>
            <w:tcW w:w="140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40" w:type="dxa"/>
            <w:vAlign w:val="bottom"/>
            <w:tcBorders>
              <w:bottom w:val="single" w:sz="8" w:color="auto"/>
            </w:tcBorders>
          </w:tcPr>
          <w:p>
            <w:pPr>
              <w:spacing w:after="0" w:line="20" w:lineRule="exact"/>
              <w:rPr>
                <w:sz w:val="1"/>
                <w:szCs w:val="1"/>
                <w:color w:val="auto"/>
              </w:rPr>
            </w:pPr>
          </w:p>
        </w:tc>
        <w:tc>
          <w:tcPr>
            <w:tcW w:w="138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26"/>
        </w:trPr>
        <w:tc>
          <w:tcPr>
            <w:tcW w:w="7600" w:type="dxa"/>
            <w:vAlign w:val="bottom"/>
            <w:gridSpan w:val="2"/>
            <w:shd w:val="clear" w:color="auto" w:fill="CFF0FC"/>
          </w:tcPr>
          <w:p>
            <w:pPr>
              <w:spacing w:after="0"/>
              <w:rPr>
                <w:sz w:val="19"/>
                <w:szCs w:val="19"/>
                <w:color w:val="auto"/>
              </w:rPr>
            </w:pPr>
          </w:p>
        </w:tc>
        <w:tc>
          <w:tcPr>
            <w:tcW w:w="240" w:type="dxa"/>
            <w:vAlign w:val="bottom"/>
            <w:shd w:val="clear" w:color="auto" w:fill="CFF0FC"/>
          </w:tcPr>
          <w:p>
            <w:pPr>
              <w:spacing w:after="0"/>
              <w:rPr>
                <w:sz w:val="19"/>
                <w:szCs w:val="19"/>
                <w:color w:val="auto"/>
              </w:rPr>
            </w:pPr>
          </w:p>
        </w:tc>
        <w:tc>
          <w:tcPr>
            <w:tcW w:w="1400" w:type="dxa"/>
            <w:vAlign w:val="bottom"/>
            <w:shd w:val="clear" w:color="auto" w:fill="CFF0FC"/>
          </w:tcPr>
          <w:p>
            <w:pPr>
              <w:spacing w:after="0"/>
              <w:rPr>
                <w:sz w:val="19"/>
                <w:szCs w:val="19"/>
                <w:color w:val="auto"/>
              </w:rPr>
            </w:pPr>
          </w:p>
        </w:tc>
        <w:tc>
          <w:tcPr>
            <w:tcW w:w="280" w:type="dxa"/>
            <w:vAlign w:val="bottom"/>
            <w:shd w:val="clear" w:color="auto" w:fill="CFF0FC"/>
          </w:tcPr>
          <w:p>
            <w:pPr>
              <w:spacing w:after="0"/>
              <w:rPr>
                <w:sz w:val="19"/>
                <w:szCs w:val="19"/>
                <w:color w:val="auto"/>
              </w:rPr>
            </w:pPr>
          </w:p>
        </w:tc>
        <w:tc>
          <w:tcPr>
            <w:tcW w:w="240" w:type="dxa"/>
            <w:vAlign w:val="bottom"/>
            <w:shd w:val="clear" w:color="auto" w:fill="CFF0FC"/>
          </w:tcPr>
          <w:p>
            <w:pPr>
              <w:spacing w:after="0"/>
              <w:rPr>
                <w:sz w:val="19"/>
                <w:szCs w:val="19"/>
                <w:color w:val="auto"/>
              </w:rPr>
            </w:pPr>
          </w:p>
        </w:tc>
        <w:tc>
          <w:tcPr>
            <w:tcW w:w="1380" w:type="dxa"/>
            <w:vAlign w:val="bottom"/>
            <w:shd w:val="clear" w:color="auto" w:fill="CFF0FC"/>
          </w:tcPr>
          <w:p>
            <w:pPr>
              <w:spacing w:after="0"/>
              <w:rPr>
                <w:sz w:val="19"/>
                <w:szCs w:val="19"/>
                <w:color w:val="auto"/>
              </w:rPr>
            </w:pPr>
          </w:p>
        </w:tc>
        <w:tc>
          <w:tcPr>
            <w:tcW w:w="100" w:type="dxa"/>
            <w:vAlign w:val="bottom"/>
            <w:shd w:val="clear" w:color="auto" w:fill="CFF0FC"/>
          </w:tcPr>
          <w:p>
            <w:pPr>
              <w:spacing w:after="0"/>
              <w:rPr>
                <w:sz w:val="19"/>
                <w:szCs w:val="19"/>
                <w:color w:val="auto"/>
              </w:rPr>
            </w:pPr>
          </w:p>
        </w:tc>
      </w:tr>
      <w:tr>
        <w:trPr>
          <w:trHeight w:val="241"/>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Liabilities and Stockholders’ Equity</w:t>
            </w:r>
          </w:p>
        </w:tc>
        <w:tc>
          <w:tcPr>
            <w:tcW w:w="240" w:type="dxa"/>
            <w:vAlign w:val="bottom"/>
          </w:tcPr>
          <w:p>
            <w:pPr>
              <w:spacing w:after="0"/>
              <w:rPr>
                <w:sz w:val="20"/>
                <w:szCs w:val="20"/>
                <w:color w:val="auto"/>
              </w:rPr>
            </w:pPr>
          </w:p>
        </w:tc>
        <w:tc>
          <w:tcPr>
            <w:tcW w:w="14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Current liabilities</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Accounts payable, accrued expenses, and operating lease liabilities</w:t>
            </w:r>
          </w:p>
        </w:tc>
        <w:tc>
          <w:tcPr>
            <w:tcW w:w="24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rPr>
              <w:t>$</w:t>
            </w: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45,714</w:t>
            </w:r>
          </w:p>
        </w:tc>
        <w:tc>
          <w:tcPr>
            <w:tcW w:w="280" w:type="dxa"/>
            <w:vAlign w:val="bottom"/>
          </w:tcPr>
          <w:p>
            <w:pPr>
              <w:spacing w:after="0"/>
              <w:rPr>
                <w:sz w:val="20"/>
                <w:szCs w:val="20"/>
                <w:color w:val="auto"/>
              </w:rPr>
            </w:pP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43,090</w:t>
            </w:r>
          </w:p>
        </w:tc>
        <w:tc>
          <w:tcPr>
            <w:tcW w:w="100" w:type="dxa"/>
            <w:vAlign w:val="bottom"/>
          </w:tcPr>
          <w:p>
            <w:pPr>
              <w:spacing w:after="0"/>
              <w:rPr>
                <w:sz w:val="20"/>
                <w:szCs w:val="20"/>
                <w:color w:val="auto"/>
              </w:rPr>
            </w:pPr>
          </w:p>
        </w:tc>
      </w:tr>
      <w:tr>
        <w:trPr>
          <w:trHeight w:val="247"/>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Accrued compensation and employee benefits</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51,686</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50,045</w:t>
            </w:r>
          </w:p>
        </w:tc>
        <w:tc>
          <w:tcPr>
            <w:tcW w:w="100" w:type="dxa"/>
            <w:vAlign w:val="bottom"/>
            <w:shd w:val="clear" w:color="auto" w:fill="CFF0FC"/>
          </w:tcPr>
          <w:p>
            <w:pPr>
              <w:spacing w:after="0"/>
              <w:rPr>
                <w:sz w:val="21"/>
                <w:szCs w:val="21"/>
                <w:color w:val="auto"/>
              </w:rPr>
            </w:pP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Accrued interest</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5,800</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1,493</w:t>
            </w:r>
          </w:p>
        </w:tc>
        <w:tc>
          <w:tcPr>
            <w:tcW w:w="100" w:type="dxa"/>
            <w:vAlign w:val="bottom"/>
          </w:tcPr>
          <w:p>
            <w:pPr>
              <w:spacing w:after="0"/>
              <w:rPr>
                <w:sz w:val="20"/>
                <w:szCs w:val="20"/>
                <w:color w:val="auto"/>
              </w:rPr>
            </w:pPr>
          </w:p>
        </w:tc>
      </w:tr>
      <w:tr>
        <w:trPr>
          <w:trHeight w:val="247"/>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Current portion of long-term debt, net</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509</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483</w:t>
            </w:r>
          </w:p>
        </w:tc>
        <w:tc>
          <w:tcPr>
            <w:tcW w:w="100" w:type="dxa"/>
            <w:vAlign w:val="bottom"/>
            <w:shd w:val="clear" w:color="auto" w:fill="CFF0FC"/>
          </w:tcPr>
          <w:p>
            <w:pPr>
              <w:spacing w:after="0"/>
              <w:rPr>
                <w:sz w:val="21"/>
                <w:szCs w:val="21"/>
                <w:color w:val="auto"/>
              </w:rPr>
            </w:pP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240" w:type="dxa"/>
            <w:vAlign w:val="bottom"/>
            <w:tcBorders>
              <w:bottom w:val="single" w:sz="8" w:color="auto"/>
            </w:tcBorders>
          </w:tcPr>
          <w:p>
            <w:pPr>
              <w:spacing w:after="0"/>
              <w:rPr>
                <w:sz w:val="20"/>
                <w:szCs w:val="20"/>
                <w:color w:val="auto"/>
              </w:rPr>
            </w:pP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184,402</w:t>
            </w:r>
          </w:p>
        </w:tc>
        <w:tc>
          <w:tcPr>
            <w:tcW w:w="280" w:type="dxa"/>
            <w:vAlign w:val="bottom"/>
          </w:tcPr>
          <w:p>
            <w:pPr>
              <w:spacing w:after="0"/>
              <w:rPr>
                <w:sz w:val="20"/>
                <w:szCs w:val="20"/>
                <w:color w:val="auto"/>
              </w:rPr>
            </w:pPr>
          </w:p>
        </w:tc>
        <w:tc>
          <w:tcPr>
            <w:tcW w:w="240" w:type="dxa"/>
            <w:vAlign w:val="bottom"/>
            <w:tcBorders>
              <w:bottom w:val="single" w:sz="8" w:color="auto"/>
            </w:tcBorders>
          </w:tcPr>
          <w:p>
            <w:pPr>
              <w:spacing w:after="0"/>
              <w:rPr>
                <w:sz w:val="20"/>
                <w:szCs w:val="20"/>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100" w:type="dxa"/>
            <w:vAlign w:val="bottom"/>
          </w:tcPr>
          <w:p>
            <w:pPr>
              <w:spacing w:after="0"/>
              <w:rPr>
                <w:sz w:val="20"/>
                <w:szCs w:val="20"/>
                <w:color w:val="auto"/>
              </w:rPr>
            </w:pPr>
          </w:p>
        </w:tc>
      </w:tr>
      <w:tr>
        <w:trPr>
          <w:trHeight w:val="241"/>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current liabilities</w:t>
            </w:r>
          </w:p>
        </w:tc>
        <w:tc>
          <w:tcPr>
            <w:tcW w:w="240" w:type="dxa"/>
            <w:vAlign w:val="bottom"/>
            <w:shd w:val="clear" w:color="auto" w:fill="CFF0FC"/>
          </w:tcPr>
          <w:p>
            <w:pPr>
              <w:spacing w:after="0"/>
              <w:rPr>
                <w:sz w:val="20"/>
                <w:szCs w:val="20"/>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288,111</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323,273</w:t>
            </w:r>
          </w:p>
        </w:tc>
        <w:tc>
          <w:tcPr>
            <w:tcW w:w="100" w:type="dxa"/>
            <w:vAlign w:val="bottom"/>
            <w:shd w:val="clear" w:color="auto" w:fill="CFF0FC"/>
          </w:tcPr>
          <w:p>
            <w:pPr>
              <w:spacing w:after="0"/>
              <w:rPr>
                <w:sz w:val="20"/>
                <w:szCs w:val="20"/>
                <w:color w:val="auto"/>
              </w:rPr>
            </w:pPr>
          </w:p>
        </w:tc>
      </w:tr>
      <w:tr>
        <w:trPr>
          <w:trHeight w:val="243"/>
        </w:trPr>
        <w:tc>
          <w:tcPr>
            <w:tcW w:w="7600" w:type="dxa"/>
            <w:vAlign w:val="bottom"/>
            <w:gridSpan w:val="2"/>
          </w:tcPr>
          <w:p>
            <w:pPr>
              <w:spacing w:after="0"/>
              <w:rPr>
                <w:sz w:val="21"/>
                <w:szCs w:val="21"/>
                <w:color w:val="auto"/>
              </w:rPr>
            </w:pPr>
          </w:p>
        </w:tc>
        <w:tc>
          <w:tcPr>
            <w:tcW w:w="240" w:type="dxa"/>
            <w:vAlign w:val="bottom"/>
          </w:tcPr>
          <w:p>
            <w:pPr>
              <w:spacing w:after="0"/>
              <w:rPr>
                <w:sz w:val="21"/>
                <w:szCs w:val="21"/>
                <w:color w:val="auto"/>
              </w:rPr>
            </w:pPr>
          </w:p>
        </w:tc>
        <w:tc>
          <w:tcPr>
            <w:tcW w:w="140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38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43"/>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Long-term debt, net</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4,211,949</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2,182,108</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6,344</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100" w:type="dxa"/>
            <w:vAlign w:val="bottom"/>
          </w:tcPr>
          <w:p>
            <w:pPr>
              <w:spacing w:after="0"/>
              <w:rPr>
                <w:sz w:val="20"/>
                <w:szCs w:val="20"/>
                <w:color w:val="auto"/>
              </w:rPr>
            </w:pPr>
          </w:p>
        </w:tc>
      </w:tr>
      <w:tr>
        <w:trPr>
          <w:trHeight w:val="247"/>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Operating lease liabilities</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57,495</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61,086</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Other long-term liabilities</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5,676</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22,208</w:t>
            </w:r>
          </w:p>
        </w:tc>
        <w:tc>
          <w:tcPr>
            <w:tcW w:w="100" w:type="dxa"/>
            <w:vAlign w:val="bottom"/>
          </w:tcPr>
          <w:p>
            <w:pPr>
              <w:spacing w:after="0"/>
              <w:rPr>
                <w:sz w:val="20"/>
                <w:szCs w:val="20"/>
                <w:color w:val="auto"/>
              </w:rPr>
            </w:pPr>
          </w:p>
        </w:tc>
      </w:tr>
      <w:tr>
        <w:trPr>
          <w:trHeight w:val="243"/>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tax liabilities</w:t>
            </w:r>
          </w:p>
        </w:tc>
        <w:tc>
          <w:tcPr>
            <w:tcW w:w="240" w:type="dxa"/>
            <w:vAlign w:val="bottom"/>
            <w:tcBorders>
              <w:bottom w:val="single" w:sz="8" w:color="auto"/>
            </w:tcBorders>
            <w:shd w:val="clear" w:color="auto" w:fill="CFF0FC"/>
          </w:tcPr>
          <w:p>
            <w:pPr>
              <w:spacing w:after="0"/>
              <w:rPr>
                <w:sz w:val="21"/>
                <w:szCs w:val="21"/>
                <w:color w:val="auto"/>
              </w:rPr>
            </w:pPr>
          </w:p>
        </w:tc>
        <w:tc>
          <w:tcPr>
            <w:tcW w:w="1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357</w:t>
            </w:r>
          </w:p>
        </w:tc>
        <w:tc>
          <w:tcPr>
            <w:tcW w:w="280" w:type="dxa"/>
            <w:vAlign w:val="bottom"/>
            <w:tcBorders>
              <w:bottom w:val="single" w:sz="8" w:color="CFF0FC"/>
            </w:tcBorders>
            <w:shd w:val="clear" w:color="auto" w:fill="CFF0FC"/>
          </w:tcPr>
          <w:p>
            <w:pPr>
              <w:spacing w:after="0"/>
              <w:rPr>
                <w:sz w:val="21"/>
                <w:szCs w:val="21"/>
                <w:color w:val="auto"/>
              </w:rPr>
            </w:pPr>
          </w:p>
        </w:tc>
        <w:tc>
          <w:tcPr>
            <w:tcW w:w="240" w:type="dxa"/>
            <w:vAlign w:val="bottom"/>
            <w:tcBorders>
              <w:bottom w:val="single" w:sz="8" w:color="auto"/>
            </w:tcBorders>
            <w:shd w:val="clear" w:color="auto" w:fill="CFF0FC"/>
          </w:tcPr>
          <w:p>
            <w:pPr>
              <w:spacing w:after="0"/>
              <w:rPr>
                <w:sz w:val="21"/>
                <w:szCs w:val="21"/>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357</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8"/>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Total liabilities</w:t>
            </w:r>
          </w:p>
        </w:tc>
        <w:tc>
          <w:tcPr>
            <w:tcW w:w="240" w:type="dxa"/>
            <w:vAlign w:val="bottom"/>
            <w:tcBorders>
              <w:bottom w:val="single" w:sz="8" w:color="auto"/>
            </w:tcBorders>
          </w:tcPr>
          <w:p>
            <w:pPr>
              <w:spacing w:after="0"/>
              <w:rPr>
                <w:sz w:val="20"/>
                <w:szCs w:val="20"/>
                <w:color w:val="auto"/>
              </w:rPr>
            </w:pP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4,569,932</w:t>
            </w:r>
          </w:p>
        </w:tc>
        <w:tc>
          <w:tcPr>
            <w:tcW w:w="280" w:type="dxa"/>
            <w:vAlign w:val="bottom"/>
          </w:tcPr>
          <w:p>
            <w:pPr>
              <w:spacing w:after="0"/>
              <w:rPr>
                <w:sz w:val="20"/>
                <w:szCs w:val="20"/>
                <w:color w:val="auto"/>
              </w:rPr>
            </w:pPr>
          </w:p>
        </w:tc>
        <w:tc>
          <w:tcPr>
            <w:tcW w:w="240" w:type="dxa"/>
            <w:vAlign w:val="bottom"/>
            <w:tcBorders>
              <w:bottom w:val="single" w:sz="8" w:color="auto"/>
            </w:tcBorders>
          </w:tcPr>
          <w:p>
            <w:pPr>
              <w:spacing w:after="0"/>
              <w:rPr>
                <w:sz w:val="20"/>
                <w:szCs w:val="20"/>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2,597,556</w:t>
            </w:r>
          </w:p>
        </w:tc>
        <w:tc>
          <w:tcPr>
            <w:tcW w:w="100" w:type="dxa"/>
            <w:vAlign w:val="bottom"/>
          </w:tcPr>
          <w:p>
            <w:pPr>
              <w:spacing w:after="0"/>
              <w:rPr>
                <w:sz w:val="20"/>
                <w:szCs w:val="20"/>
                <w:color w:val="auto"/>
              </w:rPr>
            </w:pPr>
          </w:p>
        </w:tc>
      </w:tr>
      <w:tr>
        <w:trPr>
          <w:trHeight w:val="239"/>
        </w:trPr>
        <w:tc>
          <w:tcPr>
            <w:tcW w:w="7600" w:type="dxa"/>
            <w:vAlign w:val="bottom"/>
            <w:gridSpan w:val="2"/>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400" w:type="dxa"/>
            <w:vAlign w:val="bottom"/>
            <w:shd w:val="clear" w:color="auto" w:fill="CFF0FC"/>
          </w:tcPr>
          <w:p>
            <w:pPr>
              <w:spacing w:after="0"/>
              <w:rPr>
                <w:sz w:val="20"/>
                <w:szCs w:val="20"/>
                <w:color w:val="auto"/>
              </w:rPr>
            </w:pP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41"/>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Stockholders’ Equity</w:t>
            </w:r>
          </w:p>
        </w:tc>
        <w:tc>
          <w:tcPr>
            <w:tcW w:w="240" w:type="dxa"/>
            <w:vAlign w:val="bottom"/>
          </w:tcPr>
          <w:p>
            <w:pPr>
              <w:spacing w:after="0"/>
              <w:rPr>
                <w:sz w:val="20"/>
                <w:szCs w:val="20"/>
                <w:color w:val="auto"/>
              </w:rPr>
            </w:pPr>
          </w:p>
        </w:tc>
        <w:tc>
          <w:tcPr>
            <w:tcW w:w="14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13"/>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Preferred stock undesignated, $0.001 par value; 5,000 shares authorized; no shares issued or</w:t>
            </w: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48"/>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outstanding</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11"/>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Class A common stock, $0.001 par value; 330,000 shares authorized; 191,684 shares issued and</w:t>
            </w:r>
          </w:p>
        </w:tc>
        <w:tc>
          <w:tcPr>
            <w:tcW w:w="240" w:type="dxa"/>
            <w:vAlign w:val="bottom"/>
          </w:tcPr>
          <w:p>
            <w:pPr>
              <w:spacing w:after="0"/>
              <w:rPr>
                <w:sz w:val="18"/>
                <w:szCs w:val="18"/>
                <w:color w:val="auto"/>
              </w:rPr>
            </w:pPr>
          </w:p>
        </w:tc>
        <w:tc>
          <w:tcPr>
            <w:tcW w:w="140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41"/>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183,000 shares outstanding, and 157,725 shares issued and 149,041 shares outstanding, respectively</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192</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100" w:type="dxa"/>
            <w:vAlign w:val="bottom"/>
          </w:tcPr>
          <w:p>
            <w:pPr>
              <w:spacing w:after="0"/>
              <w:rPr>
                <w:sz w:val="20"/>
                <w:szCs w:val="20"/>
                <w:color w:val="auto"/>
              </w:rPr>
            </w:pPr>
          </w:p>
        </w:tc>
      </w:tr>
      <w:tr>
        <w:trPr>
          <w:trHeight w:val="218"/>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Class B convertible common stock, $0.001 par value; 165,000 shares authorized; 19,640 shares</w:t>
            </w: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48"/>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issued and outstanding, and 19,640 shares issued and outstanding, respectively</w:t>
            </w:r>
          </w:p>
        </w:tc>
        <w:tc>
          <w:tcPr>
            <w:tcW w:w="240" w:type="dxa"/>
            <w:vAlign w:val="bottom"/>
            <w:shd w:val="clear" w:color="auto" w:fill="CFF0FC"/>
          </w:tcPr>
          <w:p>
            <w:pPr>
              <w:spacing w:after="0"/>
              <w:rPr>
                <w:sz w:val="21"/>
                <w:szCs w:val="21"/>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w:t>
            </w:r>
          </w:p>
        </w:tc>
        <w:tc>
          <w:tcPr>
            <w:tcW w:w="100" w:type="dxa"/>
            <w:vAlign w:val="bottom"/>
            <w:shd w:val="clear" w:color="auto" w:fill="CFF0FC"/>
          </w:tcPr>
          <w:p>
            <w:pPr>
              <w:spacing w:after="0"/>
              <w:rPr>
                <w:sz w:val="21"/>
                <w:szCs w:val="21"/>
                <w:color w:val="auto"/>
              </w:rPr>
            </w:pP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Additional paid-in capital</w:t>
            </w: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6,060,206</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3,957,728</w:t>
            </w:r>
          </w:p>
        </w:tc>
        <w:tc>
          <w:tcPr>
            <w:tcW w:w="100" w:type="dxa"/>
            <w:vAlign w:val="bottom"/>
          </w:tcPr>
          <w:p>
            <w:pPr>
              <w:spacing w:after="0"/>
              <w:rPr>
                <w:sz w:val="20"/>
                <w:szCs w:val="20"/>
                <w:color w:val="auto"/>
              </w:rPr>
            </w:pPr>
          </w:p>
        </w:tc>
      </w:tr>
      <w:tr>
        <w:trPr>
          <w:trHeight w:val="247"/>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Treasury stock, at cost; 8,684 shares and 8,684 shares, respectively</w:t>
            </w:r>
          </w:p>
        </w:tc>
        <w:tc>
          <w:tcPr>
            <w:tcW w:w="240" w:type="dxa"/>
            <w:vAlign w:val="bottom"/>
            <w:shd w:val="clear" w:color="auto" w:fill="CFF0FC"/>
          </w:tcPr>
          <w:p>
            <w:pPr>
              <w:spacing w:after="0"/>
              <w:rPr>
                <w:sz w:val="21"/>
                <w:szCs w:val="21"/>
                <w:color w:val="auto"/>
              </w:rPr>
            </w:pPr>
          </w:p>
        </w:tc>
        <w:tc>
          <w:tcPr>
            <w:tcW w:w="1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(782,104 )</w:t>
            </w:r>
          </w:p>
        </w:tc>
        <w:tc>
          <w:tcPr>
            <w:tcW w:w="240" w:type="dxa"/>
            <w:vAlign w:val="bottom"/>
            <w:shd w:val="clear" w:color="auto" w:fill="CFF0FC"/>
          </w:tcPr>
          <w:p>
            <w:pPr>
              <w:spacing w:after="0"/>
              <w:rPr>
                <w:sz w:val="21"/>
                <w:szCs w:val="21"/>
                <w:color w:val="auto"/>
              </w:rPr>
            </w:pPr>
          </w:p>
        </w:tc>
        <w:tc>
          <w:tcPr>
            <w:tcW w:w="14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(782,104 )</w:t>
            </w:r>
          </w:p>
        </w:tc>
      </w:tr>
      <w:tr>
        <w:trPr>
          <w:trHeight w:val="239"/>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Accumulated other comprehensive loss</w:t>
            </w:r>
          </w:p>
        </w:tc>
        <w:tc>
          <w:tcPr>
            <w:tcW w:w="240" w:type="dxa"/>
            <w:vAlign w:val="bottom"/>
          </w:tcPr>
          <w:p>
            <w:pPr>
              <w:spacing w:after="0"/>
              <w:rPr>
                <w:sz w:val="20"/>
                <w:szCs w:val="20"/>
                <w:color w:val="auto"/>
              </w:rPr>
            </w:pPr>
          </w:p>
        </w:tc>
        <w:tc>
          <w:tcPr>
            <w:tcW w:w="16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(9,580 )</w:t>
            </w:r>
          </w:p>
        </w:tc>
        <w:tc>
          <w:tcPr>
            <w:tcW w:w="240" w:type="dxa"/>
            <w:vAlign w:val="bottom"/>
          </w:tcPr>
          <w:p>
            <w:pPr>
              <w:spacing w:after="0"/>
              <w:rPr>
                <w:sz w:val="20"/>
                <w:szCs w:val="20"/>
                <w:color w:val="auto"/>
              </w:rPr>
            </w:pPr>
          </w:p>
        </w:tc>
        <w:tc>
          <w:tcPr>
            <w:tcW w:w="14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(11,444 )</w:t>
            </w:r>
          </w:p>
        </w:tc>
      </w:tr>
      <w:tr>
        <w:trPr>
          <w:trHeight w:val="243"/>
        </w:trPr>
        <w:tc>
          <w:tcPr>
            <w:tcW w:w="120" w:type="dxa"/>
            <w:vAlign w:val="bottom"/>
            <w:shd w:val="clear" w:color="auto" w:fill="CFF0FC"/>
          </w:tcPr>
          <w:p>
            <w:pPr>
              <w:spacing w:after="0"/>
              <w:rPr>
                <w:sz w:val="21"/>
                <w:szCs w:val="21"/>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Accumulated deficit</w:t>
            </w:r>
          </w:p>
        </w:tc>
        <w:tc>
          <w:tcPr>
            <w:tcW w:w="240" w:type="dxa"/>
            <w:vAlign w:val="bottom"/>
            <w:shd w:val="clear" w:color="auto" w:fill="CFF0FC"/>
          </w:tcPr>
          <w:p>
            <w:pPr>
              <w:spacing w:after="0"/>
              <w:rPr>
                <w:sz w:val="21"/>
                <w:szCs w:val="21"/>
                <w:color w:val="auto"/>
              </w:rPr>
            </w:pPr>
          </w:p>
        </w:tc>
        <w:tc>
          <w:tcPr>
            <w:tcW w:w="1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(1,495,085 )</w:t>
            </w:r>
          </w:p>
        </w:tc>
        <w:tc>
          <w:tcPr>
            <w:tcW w:w="240" w:type="dxa"/>
            <w:vAlign w:val="bottom"/>
            <w:shd w:val="clear" w:color="auto" w:fill="CFF0FC"/>
          </w:tcPr>
          <w:p>
            <w:pPr>
              <w:spacing w:after="0"/>
              <w:rPr>
                <w:sz w:val="21"/>
                <w:szCs w:val="21"/>
                <w:color w:val="auto"/>
              </w:rPr>
            </w:pPr>
          </w:p>
        </w:tc>
        <w:tc>
          <w:tcPr>
            <w:tcW w:w="14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(999,234 )</w:t>
            </w:r>
          </w:p>
        </w:tc>
      </w:tr>
      <w:tr>
        <w:trPr>
          <w:trHeight w:val="239"/>
        </w:trPr>
        <w:tc>
          <w:tcPr>
            <w:tcW w:w="7600" w:type="dxa"/>
            <w:vAlign w:val="bottom"/>
            <w:tcBorders>
              <w:top w:val="single" w:sz="8" w:color="CFF0FC"/>
            </w:tcBorders>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Total Stockholders’ Equity</w:t>
            </w:r>
          </w:p>
        </w:tc>
        <w:tc>
          <w:tcPr>
            <w:tcW w:w="240" w:type="dxa"/>
            <w:vAlign w:val="bottom"/>
            <w:tcBorders>
              <w:top w:val="single" w:sz="8" w:color="auto"/>
              <w:bottom w:val="single" w:sz="8" w:color="auto"/>
            </w:tcBorders>
          </w:tcPr>
          <w:p>
            <w:pPr>
              <w:spacing w:after="0"/>
              <w:rPr>
                <w:sz w:val="20"/>
                <w:szCs w:val="20"/>
                <w:color w:val="auto"/>
              </w:rPr>
            </w:pPr>
          </w:p>
        </w:tc>
        <w:tc>
          <w:tcPr>
            <w:tcW w:w="14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3,773,649</w:t>
            </w:r>
          </w:p>
        </w:tc>
        <w:tc>
          <w:tcPr>
            <w:tcW w:w="280" w:type="dxa"/>
            <w:vAlign w:val="bottom"/>
            <w:tcBorders>
              <w:top w:val="single" w:sz="8" w:color="CFF0FC"/>
            </w:tcBorders>
          </w:tcPr>
          <w:p>
            <w:pPr>
              <w:spacing w:after="0"/>
              <w:rPr>
                <w:sz w:val="20"/>
                <w:szCs w:val="20"/>
                <w:color w:val="auto"/>
              </w:rPr>
            </w:pPr>
          </w:p>
        </w:tc>
        <w:tc>
          <w:tcPr>
            <w:tcW w:w="240" w:type="dxa"/>
            <w:vAlign w:val="bottom"/>
            <w:tcBorders>
              <w:top w:val="single" w:sz="8" w:color="auto"/>
              <w:bottom w:val="single" w:sz="8" w:color="auto"/>
            </w:tcBorders>
          </w:tcPr>
          <w:p>
            <w:pPr>
              <w:spacing w:after="0"/>
              <w:rPr>
                <w:sz w:val="20"/>
                <w:szCs w:val="20"/>
                <w:color w:val="auto"/>
              </w:rPr>
            </w:pPr>
          </w:p>
        </w:tc>
        <w:tc>
          <w:tcPr>
            <w:tcW w:w="13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2,164,972</w:t>
            </w:r>
          </w:p>
        </w:tc>
        <w:tc>
          <w:tcPr>
            <w:tcW w:w="100" w:type="dxa"/>
            <w:vAlign w:val="bottom"/>
            <w:tcBorders>
              <w:top w:val="single" w:sz="8" w:color="CFF0FC"/>
            </w:tcBorders>
          </w:tcPr>
          <w:p>
            <w:pPr>
              <w:spacing w:after="0"/>
              <w:rPr>
                <w:sz w:val="20"/>
                <w:szCs w:val="20"/>
                <w:color w:val="auto"/>
              </w:rPr>
            </w:pPr>
          </w:p>
        </w:tc>
      </w:tr>
      <w:tr>
        <w:trPr>
          <w:trHeight w:val="277"/>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Total Liabilities and Stockholders’ Equity</w:t>
            </w:r>
          </w:p>
        </w:tc>
        <w:tc>
          <w:tcPr>
            <w:tcW w:w="240" w:type="dxa"/>
            <w:vAlign w:val="bottom"/>
            <w:tcBorders>
              <w:bottom w:val="single" w:sz="8" w:color="auto"/>
            </w:tcBorders>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b w:val="1"/>
                <w:bCs w:val="1"/>
                <w:color w:val="auto"/>
              </w:rPr>
              <w:t>$</w:t>
            </w:r>
          </w:p>
        </w:tc>
        <w:tc>
          <w:tcPr>
            <w:tcW w:w="1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8,343,581</w:t>
            </w:r>
          </w:p>
        </w:tc>
        <w:tc>
          <w:tcPr>
            <w:tcW w:w="280" w:type="dxa"/>
            <w:vAlign w:val="bottom"/>
            <w:tcBorders>
              <w:bottom w:val="single" w:sz="8" w:color="CFF0FC"/>
            </w:tcBorders>
            <w:shd w:val="clear" w:color="auto" w:fill="CFF0FC"/>
          </w:tcPr>
          <w:p>
            <w:pPr>
              <w:spacing w:after="0"/>
              <w:rPr>
                <w:sz w:val="24"/>
                <w:szCs w:val="24"/>
                <w:color w:val="auto"/>
              </w:rPr>
            </w:pPr>
          </w:p>
        </w:tc>
        <w:tc>
          <w:tcPr>
            <w:tcW w:w="240" w:type="dxa"/>
            <w:vAlign w:val="bottom"/>
            <w:tcBorders>
              <w:bottom w:val="single" w:sz="8" w:color="auto"/>
            </w:tcBorders>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4,762,528</w:t>
            </w:r>
          </w:p>
        </w:tc>
        <w:tc>
          <w:tcPr>
            <w:tcW w:w="100" w:type="dxa"/>
            <w:vAlign w:val="bottom"/>
            <w:tcBorders>
              <w:bottom w:val="single" w:sz="8" w:color="CFF0FC"/>
            </w:tcBorders>
            <w:shd w:val="clear" w:color="auto" w:fill="CFF0FC"/>
          </w:tcPr>
          <w:p>
            <w:pPr>
              <w:spacing w:after="0"/>
              <w:rPr>
                <w:sz w:val="24"/>
                <w:szCs w:val="24"/>
                <w:color w:val="auto"/>
              </w:rPr>
            </w:pPr>
          </w:p>
        </w:tc>
      </w:tr>
      <w:tr>
        <w:trPr>
          <w:trHeight w:val="415"/>
        </w:trPr>
        <w:tc>
          <w:tcPr>
            <w:tcW w:w="120" w:type="dxa"/>
            <w:vAlign w:val="bottom"/>
          </w:tcPr>
          <w:p>
            <w:pPr>
              <w:spacing w:after="0"/>
              <w:rPr>
                <w:sz w:val="20"/>
                <w:szCs w:val="20"/>
                <w:color w:val="auto"/>
              </w:rPr>
            </w:pPr>
            <w:r>
              <w:rPr>
                <w:rFonts w:ascii="Times New Roman" w:cs="Times New Roman" w:eastAsia="Times New Roman" w:hAnsi="Times New Roman"/>
                <w:sz w:val="18"/>
                <w:szCs w:val="18"/>
                <w:color w:val="auto"/>
              </w:rPr>
              <w:t>*</w:t>
            </w:r>
          </w:p>
        </w:tc>
        <w:tc>
          <w:tcPr>
            <w:tcW w:w="7480" w:type="dxa"/>
            <w:vAlign w:val="bottom"/>
          </w:tcPr>
          <w:p>
            <w:pPr>
              <w:ind w:left="240"/>
              <w:spacing w:after="0"/>
              <w:rPr>
                <w:sz w:val="20"/>
                <w:szCs w:val="20"/>
                <w:color w:val="auto"/>
              </w:rPr>
            </w:pPr>
            <w:r>
              <w:rPr>
                <w:rFonts w:ascii="Times New Roman" w:cs="Times New Roman" w:eastAsia="Times New Roman" w:hAnsi="Times New Roman"/>
                <w:sz w:val="18"/>
                <w:szCs w:val="18"/>
                <w:color w:val="auto"/>
              </w:rPr>
              <w:t>Derived from audited financial statements.</w:t>
            </w:r>
          </w:p>
        </w:tc>
        <w:tc>
          <w:tcPr>
            <w:tcW w:w="24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380" w:type="dxa"/>
            <w:vAlign w:val="bottom"/>
          </w:tcPr>
          <w:p>
            <w:pPr>
              <w:spacing w:after="0"/>
              <w:rPr>
                <w:sz w:val="24"/>
                <w:szCs w:val="24"/>
                <w:color w:val="auto"/>
              </w:rPr>
            </w:pPr>
          </w:p>
        </w:tc>
        <w:tc>
          <w:tcPr>
            <w:tcW w:w="100" w:type="dxa"/>
            <w:vAlign w:val="bottom"/>
          </w:tcPr>
          <w:p>
            <w:pPr>
              <w:spacing w:after="0"/>
              <w:rPr>
                <w:sz w:val="24"/>
                <w:szCs w:val="24"/>
                <w:color w:val="auto"/>
              </w:rPr>
            </w:pPr>
          </w:p>
        </w:tc>
      </w:tr>
      <w:tr>
        <w:trPr>
          <w:trHeight w:val="1006"/>
        </w:trPr>
        <w:tc>
          <w:tcPr>
            <w:tcW w:w="120" w:type="dxa"/>
            <w:vAlign w:val="bottom"/>
            <w:tcBorders>
              <w:bottom w:val="single" w:sz="8" w:color="9A9A9A"/>
            </w:tcBorders>
          </w:tcPr>
          <w:p>
            <w:pPr>
              <w:spacing w:after="0"/>
              <w:rPr>
                <w:sz w:val="24"/>
                <w:szCs w:val="24"/>
                <w:color w:val="auto"/>
              </w:rPr>
            </w:pPr>
          </w:p>
        </w:tc>
        <w:tc>
          <w:tcPr>
            <w:tcW w:w="74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40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3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5868670</wp:posOffset>
            </wp:positionH>
            <wp:positionV relativeFrom="paragraph">
              <wp:posOffset>-5760085</wp:posOffset>
            </wp:positionV>
            <wp:extent cx="68580" cy="825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-5760085</wp:posOffset>
            </wp:positionV>
            <wp:extent cx="68580" cy="825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-3248025</wp:posOffset>
            </wp:positionV>
            <wp:extent cx="68580" cy="825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-3248025</wp:posOffset>
            </wp:positionV>
            <wp:extent cx="68580" cy="825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-1276350</wp:posOffset>
            </wp:positionV>
            <wp:extent cx="68580" cy="889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-1276350</wp:posOffset>
            </wp:positionV>
            <wp:extent cx="68580" cy="889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-950595</wp:posOffset>
            </wp:positionV>
            <wp:extent cx="68580" cy="825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-933450</wp:posOffset>
            </wp:positionV>
            <wp:extent cx="68580" cy="889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-950595</wp:posOffset>
            </wp:positionV>
            <wp:extent cx="68580" cy="825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-933450</wp:posOffset>
            </wp:positionV>
            <wp:extent cx="68580" cy="889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9" w:name="page10"/>
    <w:bookmarkEnd w:id="9"/>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CONDENSED STATEMENTS OF CASH FLOWS</w:t>
      </w:r>
    </w:p>
    <w:p>
      <w:pPr>
        <w:spacing w:after="0" w:line="9"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60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2080" w:type="dxa"/>
            <w:vAlign w:val="bottom"/>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Nine Months Ended</w:t>
            </w:r>
          </w:p>
        </w:tc>
        <w:tc>
          <w:tcPr>
            <w:tcW w:w="116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187"/>
        </w:trPr>
        <w:tc>
          <w:tcPr>
            <w:tcW w:w="7600" w:type="dxa"/>
            <w:vAlign w:val="bottom"/>
          </w:tcPr>
          <w:p>
            <w:pPr>
              <w:spacing w:after="0"/>
              <w:rPr>
                <w:sz w:val="16"/>
                <w:szCs w:val="16"/>
                <w:color w:val="auto"/>
              </w:rPr>
            </w:pPr>
          </w:p>
        </w:tc>
        <w:tc>
          <w:tcPr>
            <w:tcW w:w="300" w:type="dxa"/>
            <w:vAlign w:val="bottom"/>
            <w:tcBorders>
              <w:bottom w:val="single" w:sz="8" w:color="auto"/>
            </w:tcBorders>
          </w:tcPr>
          <w:p>
            <w:pPr>
              <w:spacing w:after="0"/>
              <w:rPr>
                <w:sz w:val="16"/>
                <w:szCs w:val="16"/>
                <w:color w:val="auto"/>
              </w:rPr>
            </w:pPr>
          </w:p>
        </w:tc>
        <w:tc>
          <w:tcPr>
            <w:tcW w:w="2080" w:type="dxa"/>
            <w:vAlign w:val="bottom"/>
            <w:tcBorders>
              <w:bottom w:val="single" w:sz="8" w:color="auto"/>
            </w:tcBorders>
            <w:gridSpan w:val="3"/>
          </w:tcPr>
          <w:p>
            <w:pPr>
              <w:jc w:val="right"/>
              <w:ind w:right="9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116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600" w:type="dxa"/>
            <w:vAlign w:val="bottom"/>
          </w:tcPr>
          <w:p>
            <w:pPr>
              <w:spacing w:after="0"/>
              <w:rPr>
                <w:sz w:val="14"/>
                <w:szCs w:val="14"/>
                <w:color w:val="auto"/>
              </w:rPr>
            </w:pPr>
          </w:p>
        </w:tc>
        <w:tc>
          <w:tcPr>
            <w:tcW w:w="300" w:type="dxa"/>
            <w:vAlign w:val="bottom"/>
            <w:tcBorders>
              <w:bottom w:val="single" w:sz="8" w:color="auto"/>
            </w:tcBorders>
          </w:tcPr>
          <w:p>
            <w:pPr>
              <w:spacing w:after="0"/>
              <w:rPr>
                <w:sz w:val="14"/>
                <w:szCs w:val="14"/>
                <w:color w:val="auto"/>
              </w:rPr>
            </w:pPr>
          </w:p>
        </w:tc>
        <w:tc>
          <w:tcPr>
            <w:tcW w:w="1340" w:type="dxa"/>
            <w:vAlign w:val="bottom"/>
            <w:tcBorders>
              <w:bottom w:val="single" w:sz="8" w:color="auto"/>
            </w:tcBorders>
          </w:tcPr>
          <w:p>
            <w:pPr>
              <w:jc w:val="right"/>
              <w:ind w:right="597"/>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460" w:type="dxa"/>
            <w:vAlign w:val="bottom"/>
            <w:tcBorders>
              <w:bottom w:val="single" w:sz="8" w:color="auto"/>
            </w:tcBorders>
          </w:tcPr>
          <w:p>
            <w:pPr>
              <w:spacing w:after="0"/>
              <w:rPr>
                <w:sz w:val="14"/>
                <w:szCs w:val="14"/>
                <w:color w:val="auto"/>
              </w:rPr>
            </w:pPr>
          </w:p>
        </w:tc>
        <w:tc>
          <w:tcPr>
            <w:tcW w:w="1160" w:type="dxa"/>
            <w:vAlign w:val="bottom"/>
            <w:tcBorders>
              <w:bottom w:val="single" w:sz="8" w:color="auto"/>
            </w:tcBorders>
          </w:tcPr>
          <w:p>
            <w:pPr>
              <w:jc w:val="right"/>
              <w:ind w:right="594"/>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169"/>
        </w:trPr>
        <w:tc>
          <w:tcPr>
            <w:tcW w:w="760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1340" w:type="dxa"/>
            <w:vAlign w:val="bottom"/>
          </w:tcPr>
          <w:p>
            <w:pPr>
              <w:jc w:val="right"/>
              <w:ind w:right="397"/>
              <w:spacing w:after="0"/>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4"/>
                <w:szCs w:val="14"/>
                <w:color w:val="auto"/>
              </w:rPr>
            </w:pPr>
          </w:p>
        </w:tc>
        <w:tc>
          <w:tcPr>
            <w:tcW w:w="460" w:type="dxa"/>
            <w:vAlign w:val="bottom"/>
          </w:tcPr>
          <w:p>
            <w:pPr>
              <w:spacing w:after="0"/>
              <w:rPr>
                <w:sz w:val="14"/>
                <w:szCs w:val="14"/>
                <w:color w:val="auto"/>
              </w:rPr>
            </w:pPr>
          </w:p>
        </w:tc>
        <w:tc>
          <w:tcPr>
            <w:tcW w:w="1160" w:type="dxa"/>
            <w:vAlign w:val="bottom"/>
          </w:tcPr>
          <w:p>
            <w:pPr>
              <w:jc w:val="right"/>
              <w:ind w:right="394"/>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r>
      <w:tr>
        <w:trPr>
          <w:trHeight w:val="243"/>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cash (used in) provided by operating activities</w:t>
            </w:r>
          </w:p>
        </w:tc>
        <w:tc>
          <w:tcPr>
            <w:tcW w:w="30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(35,708 )</w:t>
            </w:r>
          </w:p>
        </w:tc>
        <w:tc>
          <w:tcPr>
            <w:tcW w:w="460" w:type="dxa"/>
            <w:vAlign w:val="bottom"/>
            <w:shd w:val="clear" w:color="auto" w:fill="CFF0FC"/>
          </w:tcPr>
          <w:p>
            <w:pPr>
              <w:jc w:val="right"/>
              <w:ind w:right="270"/>
              <w:spacing w:after="0"/>
              <w:rPr>
                <w:sz w:val="20"/>
                <w:szCs w:val="20"/>
                <w:color w:val="auto"/>
              </w:rPr>
            </w:pPr>
            <w:r>
              <w:rPr>
                <w:rFonts w:ascii="Times New Roman" w:cs="Times New Roman" w:eastAsia="Times New Roman" w:hAnsi="Times New Roman"/>
                <w:sz w:val="18"/>
                <w:szCs w:val="18"/>
                <w:color w:val="auto"/>
                <w:w w:val="88"/>
              </w:rPr>
              <w:t>$</w:t>
            </w: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11,528</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cash used in investing activities</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(4,010,904 )</w:t>
            </w:r>
          </w:p>
        </w:tc>
        <w:tc>
          <w:tcPr>
            <w:tcW w:w="460" w:type="dxa"/>
            <w:vAlign w:val="bottom"/>
          </w:tcPr>
          <w:p>
            <w:pPr>
              <w:spacing w:after="0"/>
              <w:rPr>
                <w:sz w:val="20"/>
                <w:szCs w:val="20"/>
                <w:color w:val="auto"/>
              </w:rPr>
            </w:pPr>
          </w:p>
        </w:tc>
        <w:tc>
          <w:tcPr>
            <w:tcW w:w="12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(690,550 )</w:t>
            </w:r>
          </w:p>
        </w:tc>
      </w:tr>
      <w:tr>
        <w:trPr>
          <w:trHeight w:val="247"/>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cash provided by financing activities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4,046,067</w:t>
            </w:r>
          </w:p>
        </w:tc>
        <w:tc>
          <w:tcPr>
            <w:tcW w:w="280" w:type="dxa"/>
            <w:vAlign w:val="bottom"/>
            <w:shd w:val="clear" w:color="auto" w:fill="CFF0FC"/>
          </w:tcPr>
          <w:p>
            <w:pPr>
              <w:spacing w:after="0"/>
              <w:rPr>
                <w:sz w:val="21"/>
                <w:szCs w:val="21"/>
                <w:color w:val="auto"/>
              </w:rPr>
            </w:pPr>
          </w:p>
        </w:tc>
        <w:tc>
          <w:tcPr>
            <w:tcW w:w="460" w:type="dxa"/>
            <w:vAlign w:val="bottom"/>
            <w:shd w:val="clear" w:color="auto" w:fill="CFF0FC"/>
          </w:tcPr>
          <w:p>
            <w:pPr>
              <w:spacing w:after="0"/>
              <w:rPr>
                <w:sz w:val="21"/>
                <w:szCs w:val="21"/>
                <w:color w:val="auto"/>
              </w:rPr>
            </w:pP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676,025</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Effect of foreign exchange rate changes on cash, cash equivalents, and restricted cash</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c>
          <w:tcPr>
            <w:tcW w:w="280" w:type="dxa"/>
            <w:vAlign w:val="bottom"/>
          </w:tcPr>
          <w:p>
            <w:pPr>
              <w:spacing w:after="0"/>
              <w:rPr>
                <w:sz w:val="20"/>
                <w:szCs w:val="20"/>
                <w:color w:val="auto"/>
              </w:rPr>
            </w:pPr>
          </w:p>
        </w:tc>
        <w:tc>
          <w:tcPr>
            <w:tcW w:w="460" w:type="dxa"/>
            <w:vAlign w:val="bottom"/>
          </w:tcPr>
          <w:p>
            <w:pPr>
              <w:spacing w:after="0"/>
              <w:rPr>
                <w:sz w:val="20"/>
                <w:szCs w:val="20"/>
                <w:color w:val="auto"/>
              </w:rPr>
            </w:pPr>
          </w:p>
        </w:tc>
        <w:tc>
          <w:tcPr>
            <w:tcW w:w="12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(997 )</w:t>
            </w:r>
          </w:p>
        </w:tc>
      </w:tr>
      <w:tr>
        <w:trPr>
          <w:trHeight w:val="20"/>
        </w:trPr>
        <w:tc>
          <w:tcPr>
            <w:tcW w:w="7600" w:type="dxa"/>
            <w:vAlign w:val="bottom"/>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shd w:val="clear" w:color="auto" w:fill="000000"/>
          </w:tcPr>
          <w:p>
            <w:pPr>
              <w:spacing w:after="0" w:line="20" w:lineRule="exact"/>
              <w:rPr>
                <w:sz w:val="1"/>
                <w:szCs w:val="1"/>
                <w:color w:val="auto"/>
              </w:rPr>
            </w:pPr>
          </w:p>
        </w:tc>
        <w:tc>
          <w:tcPr>
            <w:tcW w:w="116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41"/>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decrease in cash, cash equivalents, and restricted cash</w:t>
            </w:r>
          </w:p>
        </w:tc>
        <w:tc>
          <w:tcPr>
            <w:tcW w:w="300" w:type="dxa"/>
            <w:vAlign w:val="bottom"/>
            <w:shd w:val="clear" w:color="auto" w:fill="CFF0FC"/>
          </w:tcPr>
          <w:p>
            <w:pPr>
              <w:spacing w:after="0"/>
              <w:rPr>
                <w:sz w:val="20"/>
                <w:szCs w:val="20"/>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(468 )</w:t>
            </w:r>
          </w:p>
        </w:tc>
        <w:tc>
          <w:tcPr>
            <w:tcW w:w="460" w:type="dxa"/>
            <w:vAlign w:val="bottom"/>
            <w:shd w:val="clear" w:color="auto" w:fill="CFF0FC"/>
          </w:tcPr>
          <w:p>
            <w:pPr>
              <w:spacing w:after="0"/>
              <w:rPr>
                <w:sz w:val="20"/>
                <w:szCs w:val="20"/>
                <w:color w:val="auto"/>
              </w:rPr>
            </w:pPr>
          </w:p>
        </w:tc>
        <w:tc>
          <w:tcPr>
            <w:tcW w:w="12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(3,994 )</w:t>
            </w:r>
          </w:p>
        </w:tc>
      </w:tr>
      <w:tr>
        <w:trPr>
          <w:trHeight w:val="239"/>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Cash, cash equivalents, and restricted cash, beginning of period</w:t>
            </w:r>
          </w:p>
        </w:tc>
        <w:tc>
          <w:tcPr>
            <w:tcW w:w="300" w:type="dxa"/>
            <w:vAlign w:val="bottom"/>
            <w:tcBorders>
              <w:bottom w:val="single" w:sz="8" w:color="auto"/>
            </w:tcBorders>
          </w:tcPr>
          <w:p>
            <w:pPr>
              <w:spacing w:after="0"/>
              <w:rPr>
                <w:sz w:val="20"/>
                <w:szCs w:val="20"/>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48,673</w:t>
            </w:r>
          </w:p>
        </w:tc>
        <w:tc>
          <w:tcPr>
            <w:tcW w:w="280" w:type="dxa"/>
            <w:vAlign w:val="bottom"/>
          </w:tcPr>
          <w:p>
            <w:pPr>
              <w:spacing w:after="0"/>
              <w:rPr>
                <w:sz w:val="20"/>
                <w:szCs w:val="20"/>
                <w:color w:val="auto"/>
              </w:rPr>
            </w:pPr>
          </w:p>
        </w:tc>
        <w:tc>
          <w:tcPr>
            <w:tcW w:w="460" w:type="dxa"/>
            <w:vAlign w:val="bottom"/>
            <w:tcBorders>
              <w:bottom w:val="single" w:sz="8" w:color="auto"/>
            </w:tcBorders>
          </w:tcPr>
          <w:p>
            <w:pPr>
              <w:spacing w:after="0"/>
              <w:rPr>
                <w:sz w:val="20"/>
                <w:szCs w:val="20"/>
                <w:color w:val="auto"/>
              </w:rPr>
            </w:pPr>
          </w:p>
        </w:tc>
        <w:tc>
          <w:tcPr>
            <w:tcW w:w="11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50,868</w:t>
            </w:r>
          </w:p>
        </w:tc>
        <w:tc>
          <w:tcPr>
            <w:tcW w:w="100" w:type="dxa"/>
            <w:vAlign w:val="bottom"/>
          </w:tcPr>
          <w:p>
            <w:pPr>
              <w:spacing w:after="0"/>
              <w:rPr>
                <w:sz w:val="20"/>
                <w:szCs w:val="20"/>
                <w:color w:val="auto"/>
              </w:rPr>
            </w:pPr>
          </w:p>
        </w:tc>
      </w:tr>
      <w:tr>
        <w:trPr>
          <w:trHeight w:val="277"/>
        </w:trPr>
        <w:tc>
          <w:tcPr>
            <w:tcW w:w="76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Cash, cash equivalents, and restricted cash, end of period</w:t>
            </w:r>
          </w:p>
        </w:tc>
        <w:tc>
          <w:tcPr>
            <w:tcW w:w="300" w:type="dxa"/>
            <w:vAlign w:val="bottom"/>
            <w:tcBorders>
              <w:bottom w:val="single" w:sz="8" w:color="auto"/>
            </w:tcBorders>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48,205</w:t>
            </w:r>
          </w:p>
        </w:tc>
        <w:tc>
          <w:tcPr>
            <w:tcW w:w="280" w:type="dxa"/>
            <w:vAlign w:val="bottom"/>
            <w:tcBorders>
              <w:bottom w:val="single" w:sz="8" w:color="CFF0FC"/>
            </w:tcBorders>
            <w:shd w:val="clear" w:color="auto" w:fill="CFF0FC"/>
          </w:tcPr>
          <w:p>
            <w:pPr>
              <w:spacing w:after="0"/>
              <w:rPr>
                <w:sz w:val="24"/>
                <w:szCs w:val="24"/>
                <w:color w:val="auto"/>
              </w:rPr>
            </w:pPr>
          </w:p>
        </w:tc>
        <w:tc>
          <w:tcPr>
            <w:tcW w:w="460" w:type="dxa"/>
            <w:vAlign w:val="bottom"/>
            <w:tcBorders>
              <w:bottom w:val="single" w:sz="8" w:color="auto"/>
            </w:tcBorders>
            <w:shd w:val="clear" w:color="auto" w:fill="CFF0FC"/>
          </w:tcPr>
          <w:p>
            <w:pPr>
              <w:jc w:val="right"/>
              <w:ind w:right="270"/>
              <w:spacing w:after="0"/>
              <w:rPr>
                <w:sz w:val="20"/>
                <w:szCs w:val="20"/>
                <w:color w:val="auto"/>
              </w:rPr>
            </w:pPr>
            <w:r>
              <w:rPr>
                <w:rFonts w:ascii="Times New Roman" w:cs="Times New Roman" w:eastAsia="Times New Roman" w:hAnsi="Times New Roman"/>
                <w:sz w:val="18"/>
                <w:szCs w:val="18"/>
                <w:color w:val="auto"/>
                <w:w w:val="88"/>
              </w:rPr>
              <w:t>$</w:t>
            </w:r>
          </w:p>
        </w:tc>
        <w:tc>
          <w:tcPr>
            <w:tcW w:w="1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46,874</w:t>
            </w:r>
          </w:p>
        </w:tc>
        <w:tc>
          <w:tcPr>
            <w:tcW w:w="100" w:type="dxa"/>
            <w:vAlign w:val="bottom"/>
            <w:tcBorders>
              <w:bottom w:val="single" w:sz="8" w:color="CFF0FC"/>
            </w:tcBorders>
            <w:shd w:val="clear" w:color="auto" w:fill="CFF0FC"/>
          </w:tcPr>
          <w:p>
            <w:pPr>
              <w:spacing w:after="0"/>
              <w:rPr>
                <w:sz w:val="24"/>
                <w:szCs w:val="24"/>
                <w:color w:val="auto"/>
              </w:rPr>
            </w:pPr>
          </w:p>
        </w:tc>
      </w:tr>
      <w:tr>
        <w:trPr>
          <w:trHeight w:val="1207"/>
        </w:trPr>
        <w:tc>
          <w:tcPr>
            <w:tcW w:w="760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134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460" w:type="dxa"/>
            <w:vAlign w:val="bottom"/>
            <w:tcBorders>
              <w:bottom w:val="single" w:sz="8" w:color="9A9A9A"/>
            </w:tcBorders>
          </w:tcPr>
          <w:p>
            <w:pPr>
              <w:spacing w:after="0"/>
              <w:rPr>
                <w:sz w:val="24"/>
                <w:szCs w:val="24"/>
                <w:color w:val="auto"/>
              </w:rPr>
            </w:pPr>
          </w:p>
        </w:tc>
        <w:tc>
          <w:tcPr>
            <w:tcW w:w="11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5868670</wp:posOffset>
            </wp:positionH>
            <wp:positionV relativeFrom="paragraph">
              <wp:posOffset>-814070</wp:posOffset>
            </wp:positionV>
            <wp:extent cx="68580" cy="825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-796290</wp:posOffset>
            </wp:positionV>
            <wp:extent cx="68580" cy="825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-814070</wp:posOffset>
            </wp:positionV>
            <wp:extent cx="68580" cy="825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-796290</wp:posOffset>
            </wp:positionV>
            <wp:extent cx="68580" cy="825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0" w:name="page11"/>
    <w:bookmarkEnd w:id="10"/>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DIGITAL ASSETS – ADDITIONAL INFORMATION</w:t>
      </w:r>
    </w:p>
    <w:p>
      <w:pPr>
        <w:spacing w:after="0" w:line="9"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ROLLFORWARD OF BITCOIN HOLDINGS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(unaudited)</w:t>
      </w:r>
    </w:p>
    <w:p>
      <w:pPr>
        <w:spacing w:after="0" w:line="201"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3040" w:type="dxa"/>
            <w:vAlign w:val="bottom"/>
          </w:tcPr>
          <w:p>
            <w:pPr>
              <w:spacing w:after="0"/>
              <w:rPr>
                <w:sz w:val="13"/>
                <w:szCs w:val="13"/>
                <w:color w:val="auto"/>
              </w:rPr>
            </w:pPr>
          </w:p>
        </w:tc>
        <w:tc>
          <w:tcPr>
            <w:tcW w:w="126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Source of Capital</w:t>
            </w:r>
          </w:p>
        </w:tc>
        <w:tc>
          <w:tcPr>
            <w:tcW w:w="1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040" w:type="dxa"/>
            <w:vAlign w:val="bottom"/>
          </w:tcPr>
          <w:p>
            <w:pPr>
              <w:jc w:val="center"/>
              <w:ind w:right="94"/>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26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280" w:type="dxa"/>
            <w:vAlign w:val="bottom"/>
            <w:gridSpan w:val="2"/>
          </w:tcPr>
          <w:p>
            <w:pPr>
              <w:jc w:val="center"/>
              <w:ind w:right="420"/>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00" w:type="dxa"/>
            <w:vAlign w:val="bottom"/>
          </w:tcPr>
          <w:p>
            <w:pPr>
              <w:spacing w:after="0"/>
              <w:rPr>
                <w:sz w:val="13"/>
                <w:szCs w:val="13"/>
                <w:color w:val="auto"/>
              </w:rPr>
            </w:pPr>
          </w:p>
        </w:tc>
        <w:tc>
          <w:tcPr>
            <w:tcW w:w="1220" w:type="dxa"/>
            <w:vAlign w:val="bottom"/>
            <w:gridSpan w:val="2"/>
            <w:vMerge w:val="restart"/>
          </w:tcPr>
          <w:p>
            <w:pPr>
              <w:jc w:val="center"/>
              <w:ind w:right="360"/>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1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120" w:type="dxa"/>
            <w:vAlign w:val="bottom"/>
            <w:gridSpan w:val="2"/>
            <w:vMerge w:val="restart"/>
          </w:tcPr>
          <w:p>
            <w:pPr>
              <w:jc w:val="center"/>
              <w:ind w:right="260"/>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0" w:type="dxa"/>
            <w:vAlign w:val="bottom"/>
          </w:tcPr>
          <w:p>
            <w:pPr>
              <w:spacing w:after="0"/>
              <w:rPr>
                <w:sz w:val="1"/>
                <w:szCs w:val="1"/>
                <w:color w:val="auto"/>
              </w:rPr>
            </w:pPr>
          </w:p>
        </w:tc>
      </w:tr>
      <w:tr>
        <w:trPr>
          <w:trHeight w:val="148"/>
        </w:trPr>
        <w:tc>
          <w:tcPr>
            <w:tcW w:w="3040" w:type="dxa"/>
            <w:vAlign w:val="bottom"/>
          </w:tcPr>
          <w:p>
            <w:pPr>
              <w:spacing w:after="0"/>
              <w:rPr>
                <w:sz w:val="12"/>
                <w:szCs w:val="12"/>
                <w:color w:val="auto"/>
              </w:rPr>
            </w:pPr>
          </w:p>
        </w:tc>
        <w:tc>
          <w:tcPr>
            <w:tcW w:w="1260" w:type="dxa"/>
            <w:vAlign w:val="bottom"/>
            <w:vMerge w:val="continue"/>
          </w:tcPr>
          <w:p>
            <w:pPr>
              <w:spacing w:after="0"/>
              <w:rPr>
                <w:sz w:val="12"/>
                <w:szCs w:val="12"/>
                <w:color w:val="auto"/>
              </w:rPr>
            </w:pPr>
          </w:p>
        </w:tc>
        <w:tc>
          <w:tcPr>
            <w:tcW w:w="1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40" w:type="dxa"/>
            <w:vAlign w:val="bottom"/>
          </w:tcPr>
          <w:p>
            <w:pPr>
              <w:jc w:val="center"/>
              <w:ind w:right="74"/>
              <w:spacing w:after="0" w:line="149" w:lineRule="exact"/>
              <w:rPr>
                <w:sz w:val="20"/>
                <w:szCs w:val="20"/>
                <w:color w:val="auto"/>
              </w:rPr>
            </w:pPr>
            <w:r>
              <w:rPr>
                <w:rFonts w:ascii="Times New Roman" w:cs="Times New Roman" w:eastAsia="Times New Roman" w:hAnsi="Times New Roman"/>
                <w:sz w:val="14"/>
                <w:szCs w:val="14"/>
                <w:b w:val="1"/>
                <w:bCs w:val="1"/>
                <w:color w:val="auto"/>
              </w:rPr>
              <w:t>Original Cost</w:t>
            </w:r>
          </w:p>
        </w:tc>
        <w:tc>
          <w:tcPr>
            <w:tcW w:w="2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80" w:type="dxa"/>
            <w:vAlign w:val="bottom"/>
            <w:gridSpan w:val="2"/>
          </w:tcPr>
          <w:p>
            <w:pPr>
              <w:jc w:val="center"/>
              <w:ind w:right="420"/>
              <w:spacing w:after="0" w:line="149" w:lineRule="exact"/>
              <w:rPr>
                <w:sz w:val="20"/>
                <w:szCs w:val="20"/>
                <w:color w:val="auto"/>
              </w:rPr>
            </w:pPr>
            <w:r>
              <w:rPr>
                <w:rFonts w:ascii="Times New Roman" w:cs="Times New Roman" w:eastAsia="Times New Roman" w:hAnsi="Times New Roman"/>
                <w:sz w:val="14"/>
                <w:szCs w:val="14"/>
                <w:b w:val="1"/>
                <w:bCs w:val="1"/>
                <w:color w:val="auto"/>
              </w:rPr>
              <w:t>Impairment</w:t>
            </w:r>
          </w:p>
        </w:tc>
        <w:tc>
          <w:tcPr>
            <w:tcW w:w="100" w:type="dxa"/>
            <w:vAlign w:val="bottom"/>
          </w:tcPr>
          <w:p>
            <w:pPr>
              <w:spacing w:after="0"/>
              <w:rPr>
                <w:sz w:val="12"/>
                <w:szCs w:val="12"/>
                <w:color w:val="auto"/>
              </w:rPr>
            </w:pPr>
          </w:p>
        </w:tc>
        <w:tc>
          <w:tcPr>
            <w:tcW w:w="1220" w:type="dxa"/>
            <w:vAlign w:val="bottom"/>
            <w:gridSpan w:val="2"/>
            <w:vMerge w:val="continue"/>
          </w:tcPr>
          <w:p>
            <w:pPr>
              <w:spacing w:after="0"/>
              <w:rPr>
                <w:sz w:val="12"/>
                <w:szCs w:val="12"/>
                <w:color w:val="auto"/>
              </w:rPr>
            </w:pPr>
          </w:p>
        </w:tc>
        <w:tc>
          <w:tcPr>
            <w:tcW w:w="118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120" w:type="dxa"/>
            <w:vAlign w:val="bottom"/>
            <w:gridSpan w:val="2"/>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149"/>
        </w:trPr>
        <w:tc>
          <w:tcPr>
            <w:tcW w:w="3040" w:type="dxa"/>
            <w:vAlign w:val="bottom"/>
          </w:tcPr>
          <w:p>
            <w:pPr>
              <w:spacing w:after="0"/>
              <w:rPr>
                <w:sz w:val="12"/>
                <w:szCs w:val="12"/>
                <w:color w:val="auto"/>
              </w:rPr>
            </w:pPr>
          </w:p>
        </w:tc>
        <w:tc>
          <w:tcPr>
            <w:tcW w:w="12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Used to Purchase</w:t>
            </w:r>
          </w:p>
        </w:tc>
        <w:tc>
          <w:tcPr>
            <w:tcW w:w="1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40" w:type="dxa"/>
            <w:vAlign w:val="bottom"/>
          </w:tcPr>
          <w:p>
            <w:pPr>
              <w:jc w:val="center"/>
              <w:ind w:right="74"/>
              <w:spacing w:after="0" w:line="149" w:lineRule="exact"/>
              <w:rPr>
                <w:sz w:val="20"/>
                <w:szCs w:val="20"/>
                <w:color w:val="auto"/>
              </w:rPr>
            </w:pPr>
            <w:r>
              <w:rPr>
                <w:rFonts w:ascii="Times New Roman" w:cs="Times New Roman" w:eastAsia="Times New Roman" w:hAnsi="Times New Roman"/>
                <w:sz w:val="14"/>
                <w:szCs w:val="14"/>
                <w:b w:val="1"/>
                <w:bCs w:val="1"/>
                <w:color w:val="auto"/>
              </w:rPr>
              <w:t>Basis</w:t>
            </w:r>
          </w:p>
        </w:tc>
        <w:tc>
          <w:tcPr>
            <w:tcW w:w="2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80" w:type="dxa"/>
            <w:vAlign w:val="bottom"/>
            <w:gridSpan w:val="2"/>
          </w:tcPr>
          <w:p>
            <w:pPr>
              <w:jc w:val="center"/>
              <w:ind w:right="360"/>
              <w:spacing w:after="0" w:line="149" w:lineRule="exact"/>
              <w:rPr>
                <w:sz w:val="20"/>
                <w:szCs w:val="20"/>
                <w:color w:val="auto"/>
              </w:rPr>
            </w:pPr>
            <w:r>
              <w:rPr>
                <w:rFonts w:ascii="Times New Roman" w:cs="Times New Roman" w:eastAsia="Times New Roman" w:hAnsi="Times New Roman"/>
                <w:sz w:val="14"/>
                <w:szCs w:val="14"/>
                <w:b w:val="1"/>
                <w:bCs w:val="1"/>
                <w:color w:val="auto"/>
              </w:rPr>
              <w:t>Losses</w:t>
            </w:r>
          </w:p>
        </w:tc>
        <w:tc>
          <w:tcPr>
            <w:tcW w:w="1320" w:type="dxa"/>
            <w:vAlign w:val="bottom"/>
            <w:gridSpan w:val="3"/>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Carrying Value</w:t>
            </w:r>
          </w:p>
        </w:tc>
        <w:tc>
          <w:tcPr>
            <w:tcW w:w="11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40" w:type="dxa"/>
            <w:vAlign w:val="bottom"/>
          </w:tcPr>
          <w:p>
            <w:pPr>
              <w:spacing w:after="0"/>
              <w:rPr>
                <w:sz w:val="12"/>
                <w:szCs w:val="12"/>
                <w:color w:val="auto"/>
              </w:rPr>
            </w:pPr>
          </w:p>
        </w:tc>
        <w:tc>
          <w:tcPr>
            <w:tcW w:w="1240" w:type="dxa"/>
            <w:vAlign w:val="bottom"/>
            <w:gridSpan w:val="3"/>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Average Purchase</w:t>
            </w:r>
          </w:p>
        </w:tc>
        <w:tc>
          <w:tcPr>
            <w:tcW w:w="0" w:type="dxa"/>
            <w:vAlign w:val="bottom"/>
          </w:tcPr>
          <w:p>
            <w:pPr>
              <w:spacing w:after="0"/>
              <w:rPr>
                <w:sz w:val="1"/>
                <w:szCs w:val="1"/>
                <w:color w:val="auto"/>
              </w:rPr>
            </w:pPr>
          </w:p>
        </w:tc>
      </w:tr>
      <w:tr>
        <w:trPr>
          <w:trHeight w:val="187"/>
        </w:trPr>
        <w:tc>
          <w:tcPr>
            <w:tcW w:w="3040" w:type="dxa"/>
            <w:vAlign w:val="bottom"/>
          </w:tcPr>
          <w:p>
            <w:pPr>
              <w:spacing w:after="0"/>
              <w:rPr>
                <w:sz w:val="16"/>
                <w:szCs w:val="16"/>
                <w:color w:val="auto"/>
              </w:rPr>
            </w:pPr>
          </w:p>
        </w:tc>
        <w:tc>
          <w:tcPr>
            <w:tcW w:w="12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w:t>
            </w:r>
          </w:p>
        </w:tc>
        <w:tc>
          <w:tcPr>
            <w:tcW w:w="1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40" w:type="dxa"/>
            <w:vAlign w:val="bottom"/>
            <w:tcBorders>
              <w:bottom w:val="single" w:sz="8" w:color="auto"/>
            </w:tcBorders>
          </w:tcPr>
          <w:p>
            <w:pPr>
              <w:jc w:val="center"/>
              <w:ind w:right="34"/>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40" w:type="dxa"/>
            <w:vAlign w:val="bottom"/>
            <w:tcBorders>
              <w:bottom w:val="single" w:sz="8" w:color="auto"/>
            </w:tcBorders>
          </w:tcPr>
          <w:p>
            <w:pPr>
              <w:jc w:val="center"/>
              <w:ind w:right="34"/>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4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1000" w:type="dxa"/>
            <w:vAlign w:val="bottom"/>
            <w:tcBorders>
              <w:bottom w:val="single" w:sz="8" w:color="auto"/>
            </w:tcBorders>
          </w:tcPr>
          <w:p>
            <w:pPr>
              <w:jc w:val="center"/>
              <w:ind w:right="12"/>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20" w:type="dxa"/>
            <w:vAlign w:val="bottom"/>
          </w:tcPr>
          <w:p>
            <w:pPr>
              <w:spacing w:after="0"/>
              <w:rPr>
                <w:sz w:val="16"/>
                <w:szCs w:val="16"/>
                <w:color w:val="auto"/>
              </w:rPr>
            </w:pPr>
          </w:p>
        </w:tc>
        <w:tc>
          <w:tcPr>
            <w:tcW w:w="11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Bitcoins Held *</w:t>
            </w:r>
          </w:p>
        </w:tc>
        <w:tc>
          <w:tcPr>
            <w:tcW w:w="240" w:type="dxa"/>
            <w:vAlign w:val="bottom"/>
          </w:tcPr>
          <w:p>
            <w:pPr>
              <w:spacing w:after="0"/>
              <w:rPr>
                <w:sz w:val="16"/>
                <w:szCs w:val="16"/>
                <w:color w:val="auto"/>
              </w:rPr>
            </w:pPr>
          </w:p>
        </w:tc>
        <w:tc>
          <w:tcPr>
            <w:tcW w:w="114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Price Per Bitcoin</w:t>
            </w:r>
          </w:p>
        </w:tc>
        <w:tc>
          <w:tcPr>
            <w:tcW w:w="10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37"/>
        </w:trPr>
        <w:tc>
          <w:tcPr>
            <w:tcW w:w="30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2022</w:t>
            </w:r>
          </w:p>
        </w:tc>
        <w:tc>
          <w:tcPr>
            <w:tcW w:w="1260" w:type="dxa"/>
            <w:vAlign w:val="bottom"/>
            <w:shd w:val="clear" w:color="auto" w:fill="CFF0FC"/>
          </w:tcPr>
          <w:p>
            <w:pPr>
              <w:spacing w:after="0"/>
              <w:rPr>
                <w:sz w:val="20"/>
                <w:szCs w:val="20"/>
                <w:color w:val="auto"/>
              </w:rPr>
            </w:pP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3,993,190</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(2,153,162 )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1,840,028</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132,500</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30,137</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(a)</w:t>
            </w: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7,500</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23,903</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(18,911 )</w:t>
            </w:r>
          </w:p>
        </w:tc>
        <w:tc>
          <w:tcPr>
            <w:tcW w:w="100" w:type="dxa"/>
            <w:vAlign w:val="bottom"/>
            <w:shd w:val="clear" w:color="auto" w:fill="CFF0FC"/>
          </w:tcPr>
          <w:p>
            <w:pPr>
              <w:spacing w:after="0"/>
              <w:rPr>
                <w:sz w:val="21"/>
                <w:szCs w:val="21"/>
                <w:color w:val="auto"/>
              </w:rPr>
            </w:pPr>
          </w:p>
        </w:tc>
        <w:tc>
          <w:tcPr>
            <w:tcW w:w="12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(18,911 )</w:t>
            </w:r>
          </w:p>
        </w:tc>
        <w:tc>
          <w:tcPr>
            <w:tcW w:w="11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4"/>
        </w:trPr>
        <w:tc>
          <w:tcPr>
            <w:tcW w:w="30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March 31, 2023</w:t>
            </w:r>
          </w:p>
        </w:tc>
        <w:tc>
          <w:tcPr>
            <w:tcW w:w="126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4,172,465</w:t>
            </w:r>
          </w:p>
        </w:tc>
        <w:tc>
          <w:tcPr>
            <w:tcW w:w="26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(2,172,073 )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2,000,392</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140,000</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29,803</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rPr>
              <w:t>(b)</w:t>
            </w: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347,003</w:t>
            </w: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347,003</w:t>
            </w:r>
          </w:p>
        </w:tc>
        <w:tc>
          <w:tcPr>
            <w:tcW w:w="2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12,333</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28,136</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(24,143 )</w:t>
            </w:r>
          </w:p>
        </w:tc>
        <w:tc>
          <w:tcPr>
            <w:tcW w:w="100" w:type="dxa"/>
            <w:vAlign w:val="bottom"/>
          </w:tcPr>
          <w:p>
            <w:pPr>
              <w:spacing w:after="0"/>
              <w:rPr>
                <w:sz w:val="21"/>
                <w:szCs w:val="21"/>
                <w:color w:val="auto"/>
              </w:rPr>
            </w:pPr>
          </w:p>
        </w:tc>
        <w:tc>
          <w:tcPr>
            <w:tcW w:w="12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(24,143 )</w:t>
            </w:r>
          </w:p>
        </w:tc>
        <w:tc>
          <w:tcPr>
            <w:tcW w:w="118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tcPr>
          <w:p>
            <w:pPr>
              <w:spacing w:after="0" w:line="20" w:lineRule="exact"/>
              <w:rPr>
                <w:sz w:val="1"/>
                <w:szCs w:val="1"/>
                <w:color w:val="auto"/>
              </w:rPr>
            </w:pPr>
          </w:p>
        </w:tc>
        <w:tc>
          <w:tcPr>
            <w:tcW w:w="126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7"/>
        </w:trPr>
        <w:tc>
          <w:tcPr>
            <w:tcW w:w="30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June 30, 2023</w:t>
            </w:r>
          </w:p>
        </w:tc>
        <w:tc>
          <w:tcPr>
            <w:tcW w:w="126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4,519,468</w:t>
            </w:r>
          </w:p>
        </w:tc>
        <w:tc>
          <w:tcPr>
            <w:tcW w:w="26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(2,196,216 )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2,323,252</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152,333</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29,668</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(c)</w:t>
            </w: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161,681</w:t>
            </w: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161,681</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5,912</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27,348</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(33,559 )</w:t>
            </w:r>
          </w:p>
        </w:tc>
        <w:tc>
          <w:tcPr>
            <w:tcW w:w="100" w:type="dxa"/>
            <w:vAlign w:val="bottom"/>
            <w:shd w:val="clear" w:color="auto" w:fill="CFF0FC"/>
          </w:tcPr>
          <w:p>
            <w:pPr>
              <w:spacing w:after="0"/>
              <w:rPr>
                <w:sz w:val="21"/>
                <w:szCs w:val="21"/>
                <w:color w:val="auto"/>
              </w:rPr>
            </w:pPr>
          </w:p>
        </w:tc>
        <w:tc>
          <w:tcPr>
            <w:tcW w:w="12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(33,559 )</w:t>
            </w:r>
          </w:p>
        </w:tc>
        <w:tc>
          <w:tcPr>
            <w:tcW w:w="11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4"/>
        </w:trPr>
        <w:tc>
          <w:tcPr>
            <w:tcW w:w="30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September 30, 2023</w:t>
            </w:r>
          </w:p>
        </w:tc>
        <w:tc>
          <w:tcPr>
            <w:tcW w:w="126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4,681,149</w:t>
            </w:r>
          </w:p>
        </w:tc>
        <w:tc>
          <w:tcPr>
            <w:tcW w:w="26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(2,229,775 )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2,451,374</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158,245</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29,582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rPr>
              <w:t>(d)</w:t>
            </w: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1,214,340</w:t>
            </w: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1,214,340</w:t>
            </w:r>
          </w:p>
        </w:tc>
        <w:tc>
          <w:tcPr>
            <w:tcW w:w="2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30,905</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39,293</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(39,238 )</w:t>
            </w:r>
          </w:p>
        </w:tc>
        <w:tc>
          <w:tcPr>
            <w:tcW w:w="100" w:type="dxa"/>
            <w:vAlign w:val="bottom"/>
          </w:tcPr>
          <w:p>
            <w:pPr>
              <w:spacing w:after="0"/>
              <w:rPr>
                <w:sz w:val="21"/>
                <w:szCs w:val="21"/>
                <w:color w:val="auto"/>
              </w:rPr>
            </w:pPr>
          </w:p>
        </w:tc>
        <w:tc>
          <w:tcPr>
            <w:tcW w:w="12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(39,238 )</w:t>
            </w:r>
          </w:p>
        </w:tc>
        <w:tc>
          <w:tcPr>
            <w:tcW w:w="118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tcPr>
          <w:p>
            <w:pPr>
              <w:spacing w:after="0" w:line="20" w:lineRule="exact"/>
              <w:rPr>
                <w:sz w:val="1"/>
                <w:szCs w:val="1"/>
                <w:color w:val="auto"/>
              </w:rPr>
            </w:pPr>
          </w:p>
        </w:tc>
        <w:tc>
          <w:tcPr>
            <w:tcW w:w="126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7"/>
        </w:trPr>
        <w:tc>
          <w:tcPr>
            <w:tcW w:w="30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2023</w:t>
            </w:r>
          </w:p>
        </w:tc>
        <w:tc>
          <w:tcPr>
            <w:tcW w:w="126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5,895,489</w:t>
            </w:r>
          </w:p>
        </w:tc>
        <w:tc>
          <w:tcPr>
            <w:tcW w:w="26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(2,269,013 )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3,626,476</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189,150</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31,168</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(e)</w:t>
            </w: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25,128</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65,238</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(191,633 )</w:t>
            </w:r>
          </w:p>
        </w:tc>
        <w:tc>
          <w:tcPr>
            <w:tcW w:w="100" w:type="dxa"/>
            <w:vAlign w:val="bottom"/>
            <w:shd w:val="clear" w:color="auto" w:fill="CFF0FC"/>
          </w:tcPr>
          <w:p>
            <w:pPr>
              <w:spacing w:after="0"/>
              <w:rPr>
                <w:sz w:val="21"/>
                <w:szCs w:val="21"/>
                <w:color w:val="auto"/>
              </w:rPr>
            </w:pPr>
          </w:p>
        </w:tc>
        <w:tc>
          <w:tcPr>
            <w:tcW w:w="12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(191,633 )</w:t>
            </w:r>
          </w:p>
        </w:tc>
        <w:tc>
          <w:tcPr>
            <w:tcW w:w="11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4"/>
        </w:trPr>
        <w:tc>
          <w:tcPr>
            <w:tcW w:w="30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March 31, 2024</w:t>
            </w:r>
          </w:p>
        </w:tc>
        <w:tc>
          <w:tcPr>
            <w:tcW w:w="126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7,534,798</w:t>
            </w:r>
          </w:p>
        </w:tc>
        <w:tc>
          <w:tcPr>
            <w:tcW w:w="26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(2,460,646 )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5,074,152</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214,278</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35,164</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w w:val="99"/>
              </w:rPr>
              <w:t>(f)</w:t>
            </w: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793,828</w:t>
            </w: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793,828</w:t>
            </w:r>
          </w:p>
        </w:tc>
        <w:tc>
          <w:tcPr>
            <w:tcW w:w="2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12,053</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65,861</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(180,090 )</w:t>
            </w:r>
          </w:p>
        </w:tc>
        <w:tc>
          <w:tcPr>
            <w:tcW w:w="100" w:type="dxa"/>
            <w:vAlign w:val="bottom"/>
          </w:tcPr>
          <w:p>
            <w:pPr>
              <w:spacing w:after="0"/>
              <w:rPr>
                <w:sz w:val="21"/>
                <w:szCs w:val="21"/>
                <w:color w:val="auto"/>
              </w:rPr>
            </w:pPr>
          </w:p>
        </w:tc>
        <w:tc>
          <w:tcPr>
            <w:tcW w:w="12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(180,090 )</w:t>
            </w:r>
          </w:p>
        </w:tc>
        <w:tc>
          <w:tcPr>
            <w:tcW w:w="118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tcPr>
          <w:p>
            <w:pPr>
              <w:spacing w:after="0" w:line="20" w:lineRule="exact"/>
              <w:rPr>
                <w:sz w:val="1"/>
                <w:szCs w:val="1"/>
                <w:color w:val="auto"/>
              </w:rPr>
            </w:pPr>
          </w:p>
        </w:tc>
        <w:tc>
          <w:tcPr>
            <w:tcW w:w="126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7"/>
        </w:trPr>
        <w:tc>
          <w:tcPr>
            <w:tcW w:w="30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June 30, 2024</w:t>
            </w:r>
          </w:p>
        </w:tc>
        <w:tc>
          <w:tcPr>
            <w:tcW w:w="126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8,328,626</w:t>
            </w:r>
          </w:p>
        </w:tc>
        <w:tc>
          <w:tcPr>
            <w:tcW w:w="26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(2,640,736 )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5,687,890</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226,331</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36,798</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0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(g)</w:t>
            </w:r>
          </w:p>
        </w:tc>
        <w:tc>
          <w:tcPr>
            <w:tcW w:w="1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1,575,073</w:t>
            </w:r>
          </w:p>
        </w:tc>
        <w:tc>
          <w:tcPr>
            <w:tcW w:w="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1,575,073</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25,889</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60,839</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04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(412,084 )</w:t>
            </w:r>
          </w:p>
        </w:tc>
        <w:tc>
          <w:tcPr>
            <w:tcW w:w="100" w:type="dxa"/>
            <w:vAlign w:val="bottom"/>
            <w:shd w:val="clear" w:color="auto" w:fill="CFF0FC"/>
          </w:tcPr>
          <w:p>
            <w:pPr>
              <w:spacing w:after="0"/>
              <w:rPr>
                <w:sz w:val="21"/>
                <w:szCs w:val="21"/>
                <w:color w:val="auto"/>
              </w:rPr>
            </w:pPr>
          </w:p>
        </w:tc>
        <w:tc>
          <w:tcPr>
            <w:tcW w:w="12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(412,084 )</w:t>
            </w:r>
          </w:p>
        </w:tc>
        <w:tc>
          <w:tcPr>
            <w:tcW w:w="11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0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2"/>
        </w:trPr>
        <w:tc>
          <w:tcPr>
            <w:tcW w:w="30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September 30, 2024</w:t>
            </w:r>
          </w:p>
        </w:tc>
        <w:tc>
          <w:tcPr>
            <w:tcW w:w="126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9,903,699</w:t>
            </w:r>
          </w:p>
        </w:tc>
        <w:tc>
          <w:tcPr>
            <w:tcW w:w="26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8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b w:val="1"/>
                <w:bCs w:val="1"/>
                <w:color w:val="auto"/>
              </w:rPr>
              <w:t>(3,052,820 )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6,850,879</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252,220</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39,266</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3554095</wp:posOffset>
            </wp:positionH>
            <wp:positionV relativeFrom="paragraph">
              <wp:posOffset>-2988310</wp:posOffset>
            </wp:positionV>
            <wp:extent cx="76835" cy="825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4453890</wp:posOffset>
            </wp:positionH>
            <wp:positionV relativeFrom="paragraph">
              <wp:posOffset>-2988310</wp:posOffset>
            </wp:positionV>
            <wp:extent cx="77470" cy="825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5311140</wp:posOffset>
            </wp:positionH>
            <wp:positionV relativeFrom="paragraph">
              <wp:posOffset>-2988310</wp:posOffset>
            </wp:positionV>
            <wp:extent cx="68580" cy="825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-2988310</wp:posOffset>
            </wp:positionV>
            <wp:extent cx="68580" cy="825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-2988310</wp:posOffset>
            </wp:positionV>
            <wp:extent cx="68580" cy="825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3554095</wp:posOffset>
            </wp:positionH>
            <wp:positionV relativeFrom="paragraph">
              <wp:posOffset>-2045335</wp:posOffset>
            </wp:positionV>
            <wp:extent cx="76835" cy="825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4453890</wp:posOffset>
            </wp:positionH>
            <wp:positionV relativeFrom="paragraph">
              <wp:posOffset>-2045335</wp:posOffset>
            </wp:positionV>
            <wp:extent cx="77470" cy="8255"/>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5311140</wp:posOffset>
            </wp:positionH>
            <wp:positionV relativeFrom="paragraph">
              <wp:posOffset>-2045335</wp:posOffset>
            </wp:positionV>
            <wp:extent cx="68580" cy="825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-2045335</wp:posOffset>
            </wp:positionV>
            <wp:extent cx="68580" cy="825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-2045335</wp:posOffset>
            </wp:positionV>
            <wp:extent cx="68580" cy="8255"/>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3554095</wp:posOffset>
            </wp:positionH>
            <wp:positionV relativeFrom="paragraph">
              <wp:posOffset>-1102360</wp:posOffset>
            </wp:positionV>
            <wp:extent cx="76835" cy="825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4453890</wp:posOffset>
            </wp:positionH>
            <wp:positionV relativeFrom="paragraph">
              <wp:posOffset>-1102360</wp:posOffset>
            </wp:positionV>
            <wp:extent cx="77470" cy="825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5311140</wp:posOffset>
            </wp:positionH>
            <wp:positionV relativeFrom="paragraph">
              <wp:posOffset>-1102360</wp:posOffset>
            </wp:positionV>
            <wp:extent cx="68580" cy="825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-1102360</wp:posOffset>
            </wp:positionV>
            <wp:extent cx="68580" cy="8255"/>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-1102360</wp:posOffset>
            </wp:positionV>
            <wp:extent cx="68580" cy="8255"/>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3554095</wp:posOffset>
            </wp:positionH>
            <wp:positionV relativeFrom="paragraph">
              <wp:posOffset>-159385</wp:posOffset>
            </wp:positionV>
            <wp:extent cx="76835" cy="889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4453890</wp:posOffset>
            </wp:positionH>
            <wp:positionV relativeFrom="paragraph">
              <wp:posOffset>-159385</wp:posOffset>
            </wp:positionV>
            <wp:extent cx="77470" cy="889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5311140</wp:posOffset>
            </wp:positionH>
            <wp:positionV relativeFrom="paragraph">
              <wp:posOffset>-159385</wp:posOffset>
            </wp:positionV>
            <wp:extent cx="68580" cy="889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-159385</wp:posOffset>
            </wp:positionV>
            <wp:extent cx="68580" cy="889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-159385</wp:posOffset>
            </wp:positionV>
            <wp:extent cx="68580" cy="889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173" w:lineRule="exact"/>
        <w:rPr>
          <w:sz w:val="20"/>
          <w:szCs w:val="20"/>
          <w:color w:val="auto"/>
        </w:rPr>
      </w:pPr>
    </w:p>
    <w:p>
      <w:pPr>
        <w:ind w:left="520" w:right="20" w:hanging="512"/>
        <w:spacing w:after="0" w:line="298" w:lineRule="auto"/>
        <w:tabs>
          <w:tab w:leader="none" w:pos="335" w:val="left"/>
        </w:tabs>
        <w:numPr>
          <w:ilvl w:val="0"/>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MicroStrategy owns and has purchased bitcoins both directly and indirectly through its wholly-owned subsidiary, MacroStrategy. References to MicroStrategy below refer to MicroStrategy and its subsidiaries on a consolidated basis.</w:t>
      </w:r>
    </w:p>
    <w:p>
      <w:pPr>
        <w:spacing w:after="0" w:line="150" w:lineRule="exact"/>
        <w:rPr>
          <w:rFonts w:ascii="Times New Roman" w:cs="Times New Roman" w:eastAsia="Times New Roman" w:hAnsi="Times New Roman"/>
          <w:sz w:val="16"/>
          <w:szCs w:val="16"/>
          <w:color w:val="auto"/>
        </w:rPr>
      </w:pPr>
    </w:p>
    <w:p>
      <w:pPr>
        <w:ind w:left="520" w:hanging="512"/>
        <w:spacing w:after="0" w:line="269"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first quarter of 2023, MicroStrategy purchased bitcoin using $179.3 million of the net proceeds from its sale of class A common stock under its at-the-market equity offering program.</w:t>
      </w:r>
    </w:p>
    <w:p>
      <w:pPr>
        <w:ind w:left="520" w:right="20" w:hanging="512"/>
        <w:spacing w:after="0" w:line="264"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second quarter of 2023, MicroStrategy purchased bitcoin using $336.9 million of the net proceeds from its sale of class A common stock under its at-the-market equity offering program and Excess Cash.</w:t>
      </w:r>
    </w:p>
    <w:p>
      <w:pPr>
        <w:ind w:left="520" w:hanging="512"/>
        <w:spacing w:after="0" w:line="264"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third quarter of 2023, MicroStrategy purchased bitcoin using $147.3 million of the net proceeds from its sale of class A common stock under its at-the-market equity offering program and Excess Cash.</w:t>
      </w:r>
    </w:p>
    <w:p>
      <w:pPr>
        <w:ind w:left="520" w:right="20" w:hanging="512"/>
        <w:spacing w:after="0" w:line="264"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fourth quarter of 2023, MicroStrategy purchased bitcoin using $1.201 billion of the net proceeds from its sale of class A common stock under its at-the-market equity offering program and Excess Cash.</w:t>
      </w:r>
    </w:p>
    <w:p>
      <w:pPr>
        <w:jc w:val="both"/>
        <w:ind w:left="520" w:hanging="512"/>
        <w:spacing w:after="0" w:line="264"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first quarter of 2024, MicroStrategy purchased bitcoin using $782.0 million of the net proceeds from its issuance of the 2030 Convertible Notes, $592.3 million of the net proceeds from its issuance of the 2031 Convertible Notes, $137.3 million of the net proceeds from its sale of class A common stock under its at-the-market equity offering program, and Excess Cash.</w:t>
      </w:r>
    </w:p>
    <w:p>
      <w:pPr>
        <w:ind w:left="520" w:right="20" w:hanging="512"/>
        <w:spacing w:after="0" w:line="264"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second quarter of 2024, MicroStrategy purchased $793.8 million of bitcoin using net proceeds from its issuance of the 2032 Convertible Notes and Excess Cash.</w:t>
      </w:r>
    </w:p>
    <w:p>
      <w:pPr>
        <w:ind w:left="520" w:hanging="512"/>
        <w:spacing w:after="0" w:line="288" w:lineRule="auto"/>
        <w:tabs>
          <w:tab w:leader="none" w:pos="520" w:val="left"/>
        </w:tabs>
        <w:numPr>
          <w:ilvl w:val="1"/>
          <w:numId w:val="9"/>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third quarter of 2024, MicroStrategy purchased bitcoin using $1.105 billion of the net proceeds from its sale of class A common stock under its at-the-market offering program, $458.2 million of the net proceeds from its issuance of the 2028 Convertible Notes, and Excess Cash.</w:t>
      </w:r>
    </w:p>
    <w:p>
      <w:pPr>
        <w:spacing w:after="0" w:line="16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Excess Cash refers to cash in excess of the minimum Cash Assets that MicroStrategy is required to hold under its Treasury Reserve Policy, which may include cash generated by operating activities and cash from the proceeds of financing activities. Cash Assets refers to cash and cash equivalents and short-term investments.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607695</wp:posOffset>
            </wp:positionV>
            <wp:extent cx="7157720" cy="4254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1" w:name="page12"/>
    <w:bookmarkEnd w:id="11"/>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DIGITAL ASSETS – ADDITIONAL INFORMATION</w:t>
      </w:r>
    </w:p>
    <w:p>
      <w:pPr>
        <w:spacing w:after="0" w:line="9"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MARKET VALUE OF BITCOIN HOLDINGS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(unaudited)</w:t>
      </w:r>
    </w:p>
    <w:p>
      <w:pPr>
        <w:spacing w:after="0" w:line="201"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2160" w:type="dxa"/>
            <w:vAlign w:val="bottom"/>
          </w:tcPr>
          <w:p>
            <w:pPr>
              <w:spacing w:after="0"/>
              <w:rPr>
                <w:sz w:val="13"/>
                <w:szCs w:val="13"/>
                <w:color w:val="auto"/>
              </w:rPr>
            </w:pPr>
          </w:p>
        </w:tc>
        <w:tc>
          <w:tcPr>
            <w:tcW w:w="11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140" w:type="dxa"/>
            <w:vAlign w:val="bottom"/>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86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120" w:type="dxa"/>
            <w:vAlign w:val="bottom"/>
            <w:gridSpan w:val="2"/>
          </w:tcPr>
          <w:p>
            <w:pPr>
              <w:ind w:left="4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0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340" w:type="dxa"/>
            <w:vAlign w:val="bottom"/>
            <w:gridSpan w:val="3"/>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0" w:type="dxa"/>
            <w:vAlign w:val="bottom"/>
          </w:tcPr>
          <w:p>
            <w:pPr>
              <w:spacing w:after="0"/>
              <w:rPr>
                <w:sz w:val="1"/>
                <w:szCs w:val="1"/>
                <w:color w:val="auto"/>
              </w:rPr>
            </w:pPr>
          </w:p>
        </w:tc>
      </w:tr>
      <w:tr>
        <w:trPr>
          <w:trHeight w:val="148"/>
        </w:trPr>
        <w:tc>
          <w:tcPr>
            <w:tcW w:w="2160" w:type="dxa"/>
            <w:vAlign w:val="bottom"/>
          </w:tcPr>
          <w:p>
            <w:pPr>
              <w:spacing w:after="0"/>
              <w:rPr>
                <w:sz w:val="12"/>
                <w:szCs w:val="12"/>
                <w:color w:val="auto"/>
              </w:rPr>
            </w:pPr>
          </w:p>
        </w:tc>
        <w:tc>
          <w:tcPr>
            <w:tcW w:w="11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60" w:type="dxa"/>
            <w:vAlign w:val="bottom"/>
          </w:tcPr>
          <w:p>
            <w:pPr>
              <w:spacing w:after="0"/>
              <w:rPr>
                <w:sz w:val="12"/>
                <w:szCs w:val="12"/>
                <w:color w:val="auto"/>
              </w:rPr>
            </w:pPr>
          </w:p>
        </w:tc>
        <w:tc>
          <w:tcPr>
            <w:tcW w:w="1020" w:type="dxa"/>
            <w:vAlign w:val="bottom"/>
            <w:gridSpan w:val="2"/>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Lowest Market</w:t>
            </w:r>
          </w:p>
        </w:tc>
        <w:tc>
          <w:tcPr>
            <w:tcW w:w="240" w:type="dxa"/>
            <w:vAlign w:val="bottom"/>
          </w:tcPr>
          <w:p>
            <w:pPr>
              <w:spacing w:after="0"/>
              <w:rPr>
                <w:sz w:val="12"/>
                <w:szCs w:val="12"/>
                <w:color w:val="auto"/>
              </w:rPr>
            </w:pPr>
          </w:p>
        </w:tc>
        <w:tc>
          <w:tcPr>
            <w:tcW w:w="114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20" w:type="dxa"/>
            <w:vAlign w:val="bottom"/>
          </w:tcPr>
          <w:p>
            <w:pPr>
              <w:spacing w:after="0"/>
              <w:rPr>
                <w:sz w:val="12"/>
                <w:szCs w:val="12"/>
                <w:color w:val="auto"/>
              </w:rPr>
            </w:pPr>
          </w:p>
        </w:tc>
        <w:tc>
          <w:tcPr>
            <w:tcW w:w="980" w:type="dxa"/>
            <w:vAlign w:val="bottom"/>
            <w:gridSpan w:val="2"/>
            <w:vMerge w:val="restart"/>
          </w:tcPr>
          <w:p>
            <w:pPr>
              <w:spacing w:after="0"/>
              <w:rPr>
                <w:sz w:val="20"/>
                <w:szCs w:val="20"/>
                <w:color w:val="auto"/>
              </w:rPr>
            </w:pPr>
            <w:r>
              <w:rPr>
                <w:rFonts w:ascii="Times New Roman" w:cs="Times New Roman" w:eastAsia="Times New Roman" w:hAnsi="Times New Roman"/>
                <w:sz w:val="14"/>
                <w:szCs w:val="14"/>
                <w:b w:val="1"/>
                <w:bCs w:val="1"/>
                <w:color w:val="auto"/>
              </w:rPr>
              <w:t>Highest Market</w:t>
            </w:r>
          </w:p>
        </w:tc>
        <w:tc>
          <w:tcPr>
            <w:tcW w:w="22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00" w:type="dxa"/>
            <w:vAlign w:val="bottom"/>
          </w:tcPr>
          <w:p>
            <w:pPr>
              <w:spacing w:after="0"/>
              <w:rPr>
                <w:sz w:val="12"/>
                <w:szCs w:val="12"/>
                <w:color w:val="auto"/>
              </w:rPr>
            </w:pPr>
          </w:p>
        </w:tc>
        <w:tc>
          <w:tcPr>
            <w:tcW w:w="100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Market Price</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20" w:type="dxa"/>
            <w:vAlign w:val="bottom"/>
            <w:gridSpan w:val="2"/>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0" w:type="dxa"/>
            <w:vAlign w:val="bottom"/>
          </w:tcPr>
          <w:p>
            <w:pPr>
              <w:spacing w:after="0"/>
              <w:rPr>
                <w:sz w:val="1"/>
                <w:szCs w:val="1"/>
                <w:color w:val="auto"/>
              </w:rPr>
            </w:pPr>
          </w:p>
        </w:tc>
      </w:tr>
      <w:tr>
        <w:trPr>
          <w:trHeight w:val="149"/>
        </w:trPr>
        <w:tc>
          <w:tcPr>
            <w:tcW w:w="2160" w:type="dxa"/>
            <w:vAlign w:val="bottom"/>
          </w:tcPr>
          <w:p>
            <w:pPr>
              <w:spacing w:after="0"/>
              <w:rPr>
                <w:sz w:val="12"/>
                <w:szCs w:val="12"/>
                <w:color w:val="auto"/>
              </w:rPr>
            </w:pPr>
          </w:p>
        </w:tc>
        <w:tc>
          <w:tcPr>
            <w:tcW w:w="1120" w:type="dxa"/>
            <w:vAlign w:val="bottom"/>
            <w:vMerge w:val="continue"/>
          </w:tcPr>
          <w:p>
            <w:pPr>
              <w:spacing w:after="0"/>
              <w:rPr>
                <w:sz w:val="12"/>
                <w:szCs w:val="12"/>
                <w:color w:val="auto"/>
              </w:rPr>
            </w:pPr>
          </w:p>
        </w:tc>
        <w:tc>
          <w:tcPr>
            <w:tcW w:w="260" w:type="dxa"/>
            <w:vAlign w:val="bottom"/>
          </w:tcPr>
          <w:p>
            <w:pPr>
              <w:spacing w:after="0"/>
              <w:rPr>
                <w:sz w:val="12"/>
                <w:szCs w:val="12"/>
                <w:color w:val="auto"/>
              </w:rPr>
            </w:pPr>
          </w:p>
        </w:tc>
        <w:tc>
          <w:tcPr>
            <w:tcW w:w="1020" w:type="dxa"/>
            <w:vAlign w:val="bottom"/>
            <w:gridSpan w:val="2"/>
            <w:vMerge w:val="continue"/>
          </w:tcPr>
          <w:p>
            <w:pPr>
              <w:spacing w:after="0"/>
              <w:rPr>
                <w:sz w:val="12"/>
                <w:szCs w:val="12"/>
                <w:color w:val="auto"/>
              </w:rPr>
            </w:pPr>
          </w:p>
        </w:tc>
        <w:tc>
          <w:tcPr>
            <w:tcW w:w="240" w:type="dxa"/>
            <w:vAlign w:val="bottom"/>
          </w:tcPr>
          <w:p>
            <w:pPr>
              <w:spacing w:after="0"/>
              <w:rPr>
                <w:sz w:val="12"/>
                <w:szCs w:val="12"/>
                <w:color w:val="auto"/>
              </w:rPr>
            </w:pPr>
          </w:p>
        </w:tc>
        <w:tc>
          <w:tcPr>
            <w:tcW w:w="114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20" w:type="dxa"/>
            <w:vAlign w:val="bottom"/>
          </w:tcPr>
          <w:p>
            <w:pPr>
              <w:spacing w:after="0"/>
              <w:rPr>
                <w:sz w:val="12"/>
                <w:szCs w:val="12"/>
                <w:color w:val="auto"/>
              </w:rPr>
            </w:pPr>
          </w:p>
        </w:tc>
        <w:tc>
          <w:tcPr>
            <w:tcW w:w="98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00" w:type="dxa"/>
            <w:vAlign w:val="bottom"/>
          </w:tcPr>
          <w:p>
            <w:pPr>
              <w:spacing w:after="0"/>
              <w:rPr>
                <w:sz w:val="12"/>
                <w:szCs w:val="12"/>
                <w:color w:val="auto"/>
              </w:rPr>
            </w:pPr>
          </w:p>
        </w:tc>
        <w:tc>
          <w:tcPr>
            <w:tcW w:w="100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20" w:type="dxa"/>
            <w:vAlign w:val="bottom"/>
            <w:gridSpan w:val="2"/>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0" w:type="dxa"/>
            <w:vAlign w:val="bottom"/>
          </w:tcPr>
          <w:p>
            <w:pPr>
              <w:spacing w:after="0"/>
              <w:rPr>
                <w:sz w:val="1"/>
                <w:szCs w:val="1"/>
                <w:color w:val="auto"/>
              </w:rPr>
            </w:pPr>
          </w:p>
        </w:tc>
      </w:tr>
      <w:tr>
        <w:trPr>
          <w:trHeight w:val="148"/>
        </w:trPr>
        <w:tc>
          <w:tcPr>
            <w:tcW w:w="2160" w:type="dxa"/>
            <w:vAlign w:val="bottom"/>
          </w:tcPr>
          <w:p>
            <w:pPr>
              <w:spacing w:after="0"/>
              <w:rPr>
                <w:sz w:val="12"/>
                <w:szCs w:val="12"/>
                <w:color w:val="auto"/>
              </w:rPr>
            </w:pPr>
          </w:p>
        </w:tc>
        <w:tc>
          <w:tcPr>
            <w:tcW w:w="11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00" w:type="dxa"/>
            <w:vAlign w:val="bottom"/>
          </w:tcPr>
          <w:p>
            <w:pPr>
              <w:jc w:val="right"/>
              <w:ind w:right="154"/>
              <w:spacing w:after="0" w:line="149" w:lineRule="exact"/>
              <w:rPr>
                <w:sz w:val="20"/>
                <w:szCs w:val="20"/>
                <w:color w:val="auto"/>
              </w:rPr>
            </w:pPr>
            <w:r>
              <w:rPr>
                <w:rFonts w:ascii="Times New Roman" w:cs="Times New Roman" w:eastAsia="Times New Roman" w:hAnsi="Times New Roman"/>
                <w:sz w:val="14"/>
                <w:szCs w:val="14"/>
                <w:b w:val="1"/>
                <w:bCs w:val="1"/>
                <w:color w:val="auto"/>
              </w:rPr>
              <w:t>Price Per</w:t>
            </w:r>
          </w:p>
        </w:tc>
        <w:tc>
          <w:tcPr>
            <w:tcW w:w="2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20" w:type="dxa"/>
            <w:vAlign w:val="bottom"/>
          </w:tcPr>
          <w:p>
            <w:pPr>
              <w:jc w:val="center"/>
              <w:ind w:right="74"/>
              <w:spacing w:after="0" w:line="149" w:lineRule="exact"/>
              <w:rPr>
                <w:sz w:val="20"/>
                <w:szCs w:val="20"/>
                <w:color w:val="auto"/>
              </w:rPr>
            </w:pPr>
            <w:r>
              <w:rPr>
                <w:rFonts w:ascii="Times New Roman" w:cs="Times New Roman" w:eastAsia="Times New Roman" w:hAnsi="Times New Roman"/>
                <w:sz w:val="14"/>
                <w:szCs w:val="14"/>
                <w:b w:val="1"/>
                <w:bCs w:val="1"/>
                <w:color w:val="auto"/>
              </w:rPr>
              <w:t>Using Lowest</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860" w:type="dxa"/>
            <w:vAlign w:val="bottom"/>
          </w:tcPr>
          <w:p>
            <w:pPr>
              <w:jc w:val="right"/>
              <w:ind w:right="134"/>
              <w:spacing w:after="0" w:line="149" w:lineRule="exact"/>
              <w:rPr>
                <w:sz w:val="20"/>
                <w:szCs w:val="20"/>
                <w:color w:val="auto"/>
              </w:rPr>
            </w:pPr>
            <w:r>
              <w:rPr>
                <w:rFonts w:ascii="Times New Roman" w:cs="Times New Roman" w:eastAsia="Times New Roman" w:hAnsi="Times New Roman"/>
                <w:sz w:val="14"/>
                <w:szCs w:val="14"/>
                <w:b w:val="1"/>
                <w:bCs w:val="1"/>
                <w:color w:val="auto"/>
              </w:rPr>
              <w:t>Price Per</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00" w:type="dxa"/>
            <w:vAlign w:val="bottom"/>
          </w:tcPr>
          <w:p>
            <w:pPr>
              <w:jc w:val="center"/>
              <w:ind w:right="54"/>
              <w:spacing w:after="0" w:line="149" w:lineRule="exact"/>
              <w:rPr>
                <w:sz w:val="20"/>
                <w:szCs w:val="20"/>
                <w:color w:val="auto"/>
              </w:rPr>
            </w:pPr>
            <w:r>
              <w:rPr>
                <w:rFonts w:ascii="Times New Roman" w:cs="Times New Roman" w:eastAsia="Times New Roman" w:hAnsi="Times New Roman"/>
                <w:sz w:val="14"/>
                <w:szCs w:val="14"/>
                <w:b w:val="1"/>
                <w:bCs w:val="1"/>
                <w:color w:val="auto"/>
              </w:rPr>
              <w:t>Using Highest</w:t>
            </w:r>
          </w:p>
        </w:tc>
        <w:tc>
          <w:tcPr>
            <w:tcW w:w="200" w:type="dxa"/>
            <w:vAlign w:val="bottom"/>
          </w:tcPr>
          <w:p>
            <w:pPr>
              <w:spacing w:after="0"/>
              <w:rPr>
                <w:sz w:val="12"/>
                <w:szCs w:val="12"/>
                <w:color w:val="auto"/>
              </w:rPr>
            </w:pPr>
          </w:p>
        </w:tc>
        <w:tc>
          <w:tcPr>
            <w:tcW w:w="100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Per Bitcoin at</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20" w:type="dxa"/>
            <w:vAlign w:val="bottom"/>
            <w:gridSpan w:val="2"/>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Using Ending</w:t>
            </w:r>
          </w:p>
        </w:tc>
        <w:tc>
          <w:tcPr>
            <w:tcW w:w="0" w:type="dxa"/>
            <w:vAlign w:val="bottom"/>
          </w:tcPr>
          <w:p>
            <w:pPr>
              <w:spacing w:after="0"/>
              <w:rPr>
                <w:sz w:val="1"/>
                <w:szCs w:val="1"/>
                <w:color w:val="auto"/>
              </w:rPr>
            </w:pPr>
          </w:p>
        </w:tc>
      </w:tr>
      <w:tr>
        <w:trPr>
          <w:trHeight w:val="148"/>
        </w:trPr>
        <w:tc>
          <w:tcPr>
            <w:tcW w:w="2160" w:type="dxa"/>
            <w:vAlign w:val="bottom"/>
          </w:tcPr>
          <w:p>
            <w:pPr>
              <w:spacing w:after="0"/>
              <w:rPr>
                <w:sz w:val="12"/>
                <w:szCs w:val="12"/>
                <w:color w:val="auto"/>
              </w:rPr>
            </w:pPr>
          </w:p>
        </w:tc>
        <w:tc>
          <w:tcPr>
            <w:tcW w:w="11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Bitcoins Held at</w:t>
            </w:r>
          </w:p>
        </w:tc>
        <w:tc>
          <w:tcPr>
            <w:tcW w:w="260" w:type="dxa"/>
            <w:vAlign w:val="bottom"/>
          </w:tcPr>
          <w:p>
            <w:pPr>
              <w:spacing w:after="0"/>
              <w:rPr>
                <w:sz w:val="12"/>
                <w:szCs w:val="12"/>
                <w:color w:val="auto"/>
              </w:rPr>
            </w:pPr>
          </w:p>
        </w:tc>
        <w:tc>
          <w:tcPr>
            <w:tcW w:w="10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Bitcoin During</w:t>
            </w:r>
          </w:p>
        </w:tc>
        <w:tc>
          <w:tcPr>
            <w:tcW w:w="240" w:type="dxa"/>
            <w:vAlign w:val="bottom"/>
          </w:tcPr>
          <w:p>
            <w:pPr>
              <w:spacing w:after="0"/>
              <w:rPr>
                <w:sz w:val="12"/>
                <w:szCs w:val="12"/>
                <w:color w:val="auto"/>
              </w:rPr>
            </w:pPr>
          </w:p>
        </w:tc>
        <w:tc>
          <w:tcPr>
            <w:tcW w:w="114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20" w:type="dxa"/>
            <w:vAlign w:val="bottom"/>
          </w:tcPr>
          <w:p>
            <w:pPr>
              <w:spacing w:after="0"/>
              <w:rPr>
                <w:sz w:val="12"/>
                <w:szCs w:val="12"/>
                <w:color w:val="auto"/>
              </w:rPr>
            </w:pPr>
          </w:p>
        </w:tc>
        <w:tc>
          <w:tcPr>
            <w:tcW w:w="98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Bitcoin During</w:t>
            </w:r>
          </w:p>
        </w:tc>
        <w:tc>
          <w:tcPr>
            <w:tcW w:w="220" w:type="dxa"/>
            <w:vAlign w:val="bottom"/>
          </w:tcPr>
          <w:p>
            <w:pPr>
              <w:spacing w:after="0"/>
              <w:rPr>
                <w:sz w:val="12"/>
                <w:szCs w:val="12"/>
                <w:color w:val="auto"/>
              </w:rPr>
            </w:pPr>
          </w:p>
        </w:tc>
        <w:tc>
          <w:tcPr>
            <w:tcW w:w="11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00" w:type="dxa"/>
            <w:vAlign w:val="bottom"/>
          </w:tcPr>
          <w:p>
            <w:pPr>
              <w:spacing w:after="0"/>
              <w:rPr>
                <w:sz w:val="12"/>
                <w:szCs w:val="12"/>
                <w:color w:val="auto"/>
              </w:rPr>
            </w:pPr>
          </w:p>
        </w:tc>
        <w:tc>
          <w:tcPr>
            <w:tcW w:w="100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20" w:type="dxa"/>
            <w:vAlign w:val="bottom"/>
          </w:tcPr>
          <w:p>
            <w:pPr>
              <w:spacing w:after="0"/>
              <w:rPr>
                <w:sz w:val="12"/>
                <w:szCs w:val="12"/>
                <w:color w:val="auto"/>
              </w:rPr>
            </w:pPr>
          </w:p>
        </w:tc>
        <w:tc>
          <w:tcPr>
            <w:tcW w:w="1340" w:type="dxa"/>
            <w:vAlign w:val="bottom"/>
            <w:gridSpan w:val="3"/>
          </w:tcPr>
          <w:p>
            <w:pPr>
              <w:jc w:val="center"/>
              <w:ind w:right="14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0" w:type="dxa"/>
            <w:vAlign w:val="bottom"/>
          </w:tcPr>
          <w:p>
            <w:pPr>
              <w:spacing w:after="0"/>
              <w:rPr>
                <w:sz w:val="1"/>
                <w:szCs w:val="1"/>
                <w:color w:val="auto"/>
              </w:rPr>
            </w:pPr>
          </w:p>
        </w:tc>
      </w:tr>
      <w:tr>
        <w:trPr>
          <w:trHeight w:val="187"/>
        </w:trPr>
        <w:tc>
          <w:tcPr>
            <w:tcW w:w="2160" w:type="dxa"/>
            <w:vAlign w:val="bottom"/>
          </w:tcPr>
          <w:p>
            <w:pPr>
              <w:spacing w:after="0"/>
              <w:rPr>
                <w:sz w:val="16"/>
                <w:szCs w:val="16"/>
                <w:color w:val="auto"/>
              </w:rPr>
            </w:pPr>
          </w:p>
        </w:tc>
        <w:tc>
          <w:tcPr>
            <w:tcW w:w="11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End of Quarter *</w:t>
            </w:r>
          </w:p>
        </w:tc>
        <w:tc>
          <w:tcPr>
            <w:tcW w:w="2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900" w:type="dxa"/>
            <w:vAlign w:val="bottom"/>
            <w:tcBorders>
              <w:bottom w:val="single" w:sz="8" w:color="auto"/>
            </w:tcBorders>
          </w:tcPr>
          <w:p>
            <w:pPr>
              <w:jc w:val="right"/>
              <w:ind w:right="74"/>
              <w:spacing w:after="0"/>
              <w:rPr>
                <w:sz w:val="20"/>
                <w:szCs w:val="20"/>
                <w:color w:val="auto"/>
              </w:rPr>
            </w:pPr>
            <w:r>
              <w:rPr>
                <w:rFonts w:ascii="Times New Roman" w:cs="Times New Roman" w:eastAsia="Times New Roman" w:hAnsi="Times New Roman"/>
                <w:sz w:val="14"/>
                <w:szCs w:val="14"/>
                <w:b w:val="1"/>
                <w:bCs w:val="1"/>
                <w:color w:val="auto"/>
              </w:rPr>
              <w:t>Quarter (a)</w:t>
            </w:r>
          </w:p>
        </w:tc>
        <w:tc>
          <w:tcPr>
            <w:tcW w:w="2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20" w:type="dxa"/>
            <w:vAlign w:val="bottom"/>
            <w:tcBorders>
              <w:bottom w:val="single" w:sz="8" w:color="auto"/>
            </w:tcBorders>
          </w:tcPr>
          <w:p>
            <w:pPr>
              <w:jc w:val="center"/>
              <w:ind w:right="54"/>
              <w:spacing w:after="0"/>
              <w:rPr>
                <w:sz w:val="20"/>
                <w:szCs w:val="20"/>
                <w:color w:val="auto"/>
              </w:rPr>
            </w:pPr>
            <w:r>
              <w:rPr>
                <w:rFonts w:ascii="Times New Roman" w:cs="Times New Roman" w:eastAsia="Times New Roman" w:hAnsi="Times New Roman"/>
                <w:sz w:val="14"/>
                <w:szCs w:val="14"/>
                <w:b w:val="1"/>
                <w:bCs w:val="1"/>
                <w:color w:val="auto"/>
              </w:rPr>
              <w:t>thousands) (b)</w:t>
            </w: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860" w:type="dxa"/>
            <w:vAlign w:val="bottom"/>
            <w:tcBorders>
              <w:bottom w:val="single" w:sz="8" w:color="auto"/>
            </w:tcBorders>
          </w:tcPr>
          <w:p>
            <w:pPr>
              <w:jc w:val="right"/>
              <w:ind w:right="54"/>
              <w:spacing w:after="0"/>
              <w:rPr>
                <w:sz w:val="20"/>
                <w:szCs w:val="20"/>
                <w:color w:val="auto"/>
              </w:rPr>
            </w:pPr>
            <w:r>
              <w:rPr>
                <w:rFonts w:ascii="Times New Roman" w:cs="Times New Roman" w:eastAsia="Times New Roman" w:hAnsi="Times New Roman"/>
                <w:sz w:val="14"/>
                <w:szCs w:val="14"/>
                <w:b w:val="1"/>
                <w:bCs w:val="1"/>
                <w:color w:val="auto"/>
              </w:rPr>
              <w:t>Quarter (c)</w:t>
            </w: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00" w:type="dxa"/>
            <w:vAlign w:val="bottom"/>
            <w:tcBorders>
              <w:bottom w:val="single" w:sz="8" w:color="auto"/>
            </w:tcBorders>
          </w:tcPr>
          <w:p>
            <w:pPr>
              <w:jc w:val="center"/>
              <w:ind w:right="34"/>
              <w:spacing w:after="0"/>
              <w:rPr>
                <w:sz w:val="20"/>
                <w:szCs w:val="20"/>
                <w:color w:val="auto"/>
              </w:rPr>
            </w:pPr>
            <w:r>
              <w:rPr>
                <w:rFonts w:ascii="Times New Roman" w:cs="Times New Roman" w:eastAsia="Times New Roman" w:hAnsi="Times New Roman"/>
                <w:sz w:val="14"/>
                <w:szCs w:val="14"/>
                <w:b w:val="1"/>
                <w:bCs w:val="1"/>
                <w:color w:val="auto"/>
              </w:rPr>
              <w:t>thousands) (d)</w:t>
            </w:r>
          </w:p>
        </w:tc>
        <w:tc>
          <w:tcPr>
            <w:tcW w:w="200" w:type="dxa"/>
            <w:vAlign w:val="bottom"/>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800" w:type="dxa"/>
            <w:vAlign w:val="bottom"/>
            <w:tcBorders>
              <w:bottom w:val="single" w:sz="8" w:color="auto"/>
            </w:tcBorders>
          </w:tcPr>
          <w:p>
            <w:pPr>
              <w:jc w:val="center"/>
              <w:ind w:right="112"/>
              <w:spacing w:after="0"/>
              <w:rPr>
                <w:sz w:val="20"/>
                <w:szCs w:val="20"/>
                <w:color w:val="auto"/>
              </w:rPr>
            </w:pPr>
            <w:r>
              <w:rPr>
                <w:rFonts w:ascii="Times New Roman" w:cs="Times New Roman" w:eastAsia="Times New Roman" w:hAnsi="Times New Roman"/>
                <w:sz w:val="14"/>
                <w:szCs w:val="14"/>
                <w:b w:val="1"/>
                <w:bCs w:val="1"/>
                <w:color w:val="auto"/>
              </w:rPr>
              <w:t>(e)</w:t>
            </w: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120" w:type="dxa"/>
            <w:vAlign w:val="bottom"/>
            <w:tcBorders>
              <w:bottom w:val="single" w:sz="8" w:color="auto"/>
            </w:tcBorders>
          </w:tcPr>
          <w:p>
            <w:pPr>
              <w:jc w:val="center"/>
              <w:ind w:right="36"/>
              <w:spacing w:after="0"/>
              <w:rPr>
                <w:sz w:val="20"/>
                <w:szCs w:val="20"/>
                <w:color w:val="auto"/>
              </w:rPr>
            </w:pPr>
            <w:r>
              <w:rPr>
                <w:rFonts w:ascii="Times New Roman" w:cs="Times New Roman" w:eastAsia="Times New Roman" w:hAnsi="Times New Roman"/>
                <w:sz w:val="14"/>
                <w:szCs w:val="14"/>
                <w:b w:val="1"/>
                <w:bCs w:val="1"/>
                <w:color w:val="auto"/>
              </w:rPr>
              <w:t>thousands) (f)</w:t>
            </w:r>
          </w:p>
        </w:tc>
        <w:tc>
          <w:tcPr>
            <w:tcW w:w="10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36"/>
        </w:trPr>
        <w:tc>
          <w:tcPr>
            <w:tcW w:w="216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2022</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132,500</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15,460.00</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2,048,450</w:t>
            </w:r>
          </w:p>
        </w:tc>
        <w:tc>
          <w:tcPr>
            <w:tcW w:w="34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21,478.80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2,845,941</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16,556.32</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2,193,712</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9"/>
        </w:trPr>
        <w:tc>
          <w:tcPr>
            <w:tcW w:w="21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March 31, 2023</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140,000</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16,490.00</w:t>
            </w:r>
          </w:p>
        </w:tc>
        <w:tc>
          <w:tcPr>
            <w:tcW w:w="3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2,308,600</w:t>
            </w:r>
          </w:p>
        </w:tc>
        <w:tc>
          <w:tcPr>
            <w:tcW w:w="34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29,190.04</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4,086,606</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28,468.44</w:t>
            </w:r>
          </w:p>
        </w:tc>
        <w:tc>
          <w:tcPr>
            <w:tcW w:w="3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3,985,582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16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June 30, 2023</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152,333</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24,750.00</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3,770,242</w:t>
            </w:r>
          </w:p>
        </w:tc>
        <w:tc>
          <w:tcPr>
            <w:tcW w:w="34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31,443.67</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4,789,909</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30,361.51</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4,625,060</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21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September 30, 2023</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158,245</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24,900.00</w:t>
            </w:r>
          </w:p>
        </w:tc>
        <w:tc>
          <w:tcPr>
            <w:tcW w:w="3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3,940,301</w:t>
            </w:r>
          </w:p>
        </w:tc>
        <w:tc>
          <w:tcPr>
            <w:tcW w:w="34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31,862.21</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5,042,035</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27,030.47</w:t>
            </w:r>
          </w:p>
        </w:tc>
        <w:tc>
          <w:tcPr>
            <w:tcW w:w="3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4,277,437</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16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2023</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26,521.32</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5,016,508</w:t>
            </w:r>
          </w:p>
        </w:tc>
        <w:tc>
          <w:tcPr>
            <w:tcW w:w="34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45,000.00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8,511,750</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42,531.41</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8,044,816</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21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March 31, 2024</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214,278</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38,501.00</w:t>
            </w:r>
          </w:p>
        </w:tc>
        <w:tc>
          <w:tcPr>
            <w:tcW w:w="3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8,249,917</w:t>
            </w:r>
          </w:p>
        </w:tc>
        <w:tc>
          <w:tcPr>
            <w:tcW w:w="34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73,835.57</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15,821,338</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71,028.14</w:t>
            </w:r>
          </w:p>
        </w:tc>
        <w:tc>
          <w:tcPr>
            <w:tcW w:w="3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15,219,768</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16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June 30, 2024</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226,331</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56,500.00</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12,787,702</w:t>
            </w:r>
          </w:p>
        </w:tc>
        <w:tc>
          <w:tcPr>
            <w:tcW w:w="34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72,777.00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16,471,691</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61,926.69</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14,015,930</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4"/>
        </w:trPr>
        <w:tc>
          <w:tcPr>
            <w:tcW w:w="21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September 30, 2024</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252,220</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49,050.01</w:t>
            </w:r>
          </w:p>
        </w:tc>
        <w:tc>
          <w:tcPr>
            <w:tcW w:w="3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12,371,394</w:t>
            </w:r>
          </w:p>
        </w:tc>
        <w:tc>
          <w:tcPr>
            <w:tcW w:w="34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70,000.00</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17,655,400</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63,462.97</w:t>
            </w:r>
          </w:p>
        </w:tc>
        <w:tc>
          <w:tcPr>
            <w:tcW w:w="3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16,006,630</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197" w:lineRule="exact"/>
        <w:rPr>
          <w:sz w:val="20"/>
          <w:szCs w:val="20"/>
          <w:color w:val="auto"/>
        </w:rPr>
      </w:pPr>
    </w:p>
    <w:p>
      <w:pPr>
        <w:ind w:left="520" w:right="20" w:hanging="512"/>
        <w:spacing w:after="0" w:line="298" w:lineRule="auto"/>
        <w:tabs>
          <w:tab w:leader="none" w:pos="335" w:val="left"/>
        </w:tabs>
        <w:numPr>
          <w:ilvl w:val="0"/>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MicroStrategy owns and has purchased bitcoins both directly and indirectly through its wholly-owned subsidiary, MacroStrategy. References to MicroStrategy below refer to MicroStrategy and its subsidiaries on a consolidated basis.</w:t>
      </w:r>
    </w:p>
    <w:p>
      <w:pPr>
        <w:spacing w:after="0" w:line="164" w:lineRule="exact"/>
        <w:rPr>
          <w:rFonts w:ascii="Times New Roman" w:cs="Times New Roman" w:eastAsia="Times New Roman" w:hAnsi="Times New Roman"/>
          <w:sz w:val="16"/>
          <w:szCs w:val="16"/>
          <w:color w:val="auto"/>
        </w:rPr>
      </w:pPr>
    </w:p>
    <w:p>
      <w:pPr>
        <w:ind w:left="520" w:hanging="512"/>
        <w:spacing w:after="0" w:line="298" w:lineRule="auto"/>
        <w:tabs>
          <w:tab w:leader="none" w:pos="520" w:val="left"/>
        </w:tabs>
        <w:numPr>
          <w:ilvl w:val="1"/>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"Lowest Market Price Per Bitcoin During Quarter" represents the lowest market price for one bitcoin reported on the Coinbase exchange during the respective quarter, without regard to when MicroStrategy purchased any of its bitcoin.</w:t>
      </w:r>
    </w:p>
    <w:p>
      <w:pPr>
        <w:spacing w:after="0" w:line="123" w:lineRule="exact"/>
        <w:rPr>
          <w:rFonts w:ascii="Times New Roman" w:cs="Times New Roman" w:eastAsia="Times New Roman" w:hAnsi="Times New Roman"/>
          <w:sz w:val="16"/>
          <w:szCs w:val="16"/>
          <w:color w:val="auto"/>
        </w:rPr>
      </w:pPr>
    </w:p>
    <w:p>
      <w:pPr>
        <w:jc w:val="both"/>
        <w:ind w:left="520" w:hanging="512"/>
        <w:spacing w:after="0" w:line="290" w:lineRule="auto"/>
        <w:tabs>
          <w:tab w:leader="none" w:pos="520" w:val="left"/>
        </w:tabs>
        <w:numPr>
          <w:ilvl w:val="1"/>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Lowest Market Price" represents a mathematical calculation consisting of the lowest market price for one bitcoin reported on the Coinbase exchange during the respective quarter multiplied by the number of bitcoins held by MicroStrategy at the end of the applicable period.</w:t>
      </w:r>
    </w:p>
    <w:p>
      <w:pPr>
        <w:spacing w:after="0" w:line="143" w:lineRule="exact"/>
        <w:rPr>
          <w:rFonts w:ascii="Times New Roman" w:cs="Times New Roman" w:eastAsia="Times New Roman" w:hAnsi="Times New Roman"/>
          <w:sz w:val="16"/>
          <w:szCs w:val="16"/>
          <w:color w:val="auto"/>
        </w:rPr>
      </w:pPr>
    </w:p>
    <w:p>
      <w:pPr>
        <w:ind w:left="520" w:hanging="512"/>
        <w:spacing w:after="0" w:line="298" w:lineRule="auto"/>
        <w:tabs>
          <w:tab w:leader="none" w:pos="520" w:val="left"/>
        </w:tabs>
        <w:numPr>
          <w:ilvl w:val="1"/>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"Highest Market Price Per Bitcoin During Quarter" represents the highest market price for one bitcoin reported on the Coinbase exchange during the respective quarter, without regard to when MicroStrategy purchased any of its bitcoin.</w:t>
      </w:r>
    </w:p>
    <w:p>
      <w:pPr>
        <w:spacing w:after="0" w:line="123" w:lineRule="exact"/>
        <w:rPr>
          <w:rFonts w:ascii="Times New Roman" w:cs="Times New Roman" w:eastAsia="Times New Roman" w:hAnsi="Times New Roman"/>
          <w:sz w:val="16"/>
          <w:szCs w:val="16"/>
          <w:color w:val="auto"/>
        </w:rPr>
      </w:pPr>
    </w:p>
    <w:p>
      <w:pPr>
        <w:jc w:val="both"/>
        <w:ind w:left="520" w:hanging="512"/>
        <w:spacing w:after="0" w:line="281" w:lineRule="auto"/>
        <w:tabs>
          <w:tab w:leader="none" w:pos="520" w:val="left"/>
        </w:tabs>
        <w:numPr>
          <w:ilvl w:val="1"/>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Highest Market Price" represents a mathematical calculation consisting of the highest market price for one bitcoin reported on the Coinbase exchange during the respective quarter multiplied by the number of bitcoins held by MicroStrategy at the end of the applicable period.</w:t>
      </w:r>
    </w:p>
    <w:p>
      <w:pPr>
        <w:spacing w:after="0" w:line="136" w:lineRule="exact"/>
        <w:rPr>
          <w:rFonts w:ascii="Times New Roman" w:cs="Times New Roman" w:eastAsia="Times New Roman" w:hAnsi="Times New Roman"/>
          <w:sz w:val="16"/>
          <w:szCs w:val="16"/>
          <w:color w:val="auto"/>
        </w:rPr>
      </w:pPr>
    </w:p>
    <w:p>
      <w:pPr>
        <w:ind w:left="520" w:right="20" w:hanging="512"/>
        <w:spacing w:after="0" w:line="298" w:lineRule="auto"/>
        <w:tabs>
          <w:tab w:leader="none" w:pos="520" w:val="left"/>
        </w:tabs>
        <w:numPr>
          <w:ilvl w:val="1"/>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Price Per Bitcoin at End of Quarter" represents the market price of one bitcoin on the Coinbase exchange at 4:00 p.m. Eastern Time on the last day of the respective quarter.</w:t>
      </w:r>
    </w:p>
    <w:p>
      <w:pPr>
        <w:spacing w:after="0" w:line="137" w:lineRule="exact"/>
        <w:rPr>
          <w:rFonts w:ascii="Times New Roman" w:cs="Times New Roman" w:eastAsia="Times New Roman" w:hAnsi="Times New Roman"/>
          <w:sz w:val="16"/>
          <w:szCs w:val="16"/>
          <w:color w:val="auto"/>
        </w:rPr>
      </w:pPr>
    </w:p>
    <w:p>
      <w:pPr>
        <w:jc w:val="both"/>
        <w:ind w:left="520" w:hanging="512"/>
        <w:spacing w:after="0" w:line="281" w:lineRule="auto"/>
        <w:tabs>
          <w:tab w:leader="none" w:pos="520" w:val="left"/>
        </w:tabs>
        <w:numPr>
          <w:ilvl w:val="1"/>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Ending Market Price" represents a mathematical calculation consisting of the market price of one bitcoin on the Coinbase exchange at 4:00 p.m. Eastern Time on the last day of the respective quarter multiplied by the number of bitcoins held by MicroStrategy at the end of the applicable period.</w:t>
      </w:r>
    </w:p>
    <w:p>
      <w:pPr>
        <w:spacing w:after="0" w:line="348"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amounts reported as “Market Value” in the above table represent only a mathematical calculation consisting of the price for one bitcoin reported on the Coinbase exchange (MicroStrategy’s principal market for bitcoin) in each scenario defined above multiplied by the number of bitcoins held by MicroStrategy at the end of the applicable period. Bitcoin and bitcoin markets may be subject to manipulation and the spot price of bitcoin may be subject to fraud and manipulation. Accordingly, the Market Value amounts reported above may not accurately represent fair market value, and the actual fair market value of MicroStrategy’s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MicroStrategy may not be able to sell its bitcoins at the Market Value amounts indicated above, at the market price as reported on the Coinbase exchange (its principal market) on the date of sale, or at all.</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619125</wp:posOffset>
            </wp:positionV>
            <wp:extent cx="7157720" cy="4254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2" w:name="page13"/>
    <w:bookmarkEnd w:id="12"/>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RECONCILIATION OF GAAP TO NON-GAAP MEASURES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LOSS FROM OPERATIONS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86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2600" w:type="dxa"/>
            <w:vAlign w:val="bottom"/>
            <w:gridSpan w:val="5"/>
          </w:tcPr>
          <w:p>
            <w:pPr>
              <w:jc w:val="right"/>
              <w:ind w:right="84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60" w:type="dxa"/>
            <w:vAlign w:val="bottom"/>
          </w:tcPr>
          <w:p>
            <w:pPr>
              <w:spacing w:after="0"/>
              <w:rPr>
                <w:sz w:val="15"/>
                <w:szCs w:val="15"/>
                <w:color w:val="auto"/>
              </w:rPr>
            </w:pPr>
          </w:p>
        </w:tc>
        <w:tc>
          <w:tcPr>
            <w:tcW w:w="2440" w:type="dxa"/>
            <w:vAlign w:val="bottom"/>
            <w:gridSpan w:val="5"/>
          </w:tcPr>
          <w:p>
            <w:pPr>
              <w:jc w:val="right"/>
              <w:ind w:right="740"/>
              <w:spacing w:after="0"/>
              <w:rPr>
                <w:sz w:val="20"/>
                <w:szCs w:val="20"/>
                <w:color w:val="auto"/>
              </w:rPr>
            </w:pPr>
            <w:r>
              <w:rPr>
                <w:rFonts w:ascii="Times New Roman" w:cs="Times New Roman" w:eastAsia="Times New Roman" w:hAnsi="Times New Roman"/>
                <w:sz w:val="14"/>
                <w:szCs w:val="14"/>
                <w:b w:val="1"/>
                <w:bCs w:val="1"/>
                <w:color w:val="auto"/>
              </w:rPr>
              <w:t>Nine Months Ended</w:t>
            </w:r>
          </w:p>
        </w:tc>
      </w:tr>
      <w:tr>
        <w:trPr>
          <w:trHeight w:val="187"/>
        </w:trPr>
        <w:tc>
          <w:tcPr>
            <w:tcW w:w="58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2600" w:type="dxa"/>
            <w:vAlign w:val="bottom"/>
            <w:gridSpan w:val="5"/>
          </w:tcPr>
          <w:p>
            <w:pPr>
              <w:jc w:val="right"/>
              <w:ind w:right="106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160" w:type="dxa"/>
            <w:vAlign w:val="bottom"/>
          </w:tcPr>
          <w:p>
            <w:pPr>
              <w:spacing w:after="0"/>
              <w:rPr>
                <w:sz w:val="16"/>
                <w:szCs w:val="16"/>
                <w:color w:val="auto"/>
              </w:rPr>
            </w:pPr>
          </w:p>
        </w:tc>
        <w:tc>
          <w:tcPr>
            <w:tcW w:w="2440" w:type="dxa"/>
            <w:vAlign w:val="bottom"/>
            <w:gridSpan w:val="5"/>
          </w:tcPr>
          <w:p>
            <w:pPr>
              <w:jc w:val="right"/>
              <w:ind w:right="920"/>
              <w:spacing w:after="0"/>
              <w:rPr>
                <w:sz w:val="20"/>
                <w:szCs w:val="20"/>
                <w:color w:val="auto"/>
              </w:rPr>
            </w:pPr>
            <w:r>
              <w:rPr>
                <w:rFonts w:ascii="Times New Roman" w:cs="Times New Roman" w:eastAsia="Times New Roman" w:hAnsi="Times New Roman"/>
                <w:sz w:val="14"/>
                <w:szCs w:val="14"/>
                <w:b w:val="1"/>
                <w:bCs w:val="1"/>
                <w:color w:val="auto"/>
              </w:rPr>
              <w:t>September 30,</w:t>
            </w:r>
          </w:p>
        </w:tc>
      </w:tr>
      <w:tr>
        <w:trPr>
          <w:trHeight w:val="169"/>
        </w:trPr>
        <w:tc>
          <w:tcPr>
            <w:tcW w:w="5860" w:type="dxa"/>
            <w:vAlign w:val="bottom"/>
          </w:tcPr>
          <w:p>
            <w:pPr>
              <w:spacing w:after="0"/>
              <w:rPr>
                <w:sz w:val="14"/>
                <w:szCs w:val="14"/>
                <w:color w:val="auto"/>
              </w:rPr>
            </w:pPr>
          </w:p>
        </w:tc>
        <w:tc>
          <w:tcPr>
            <w:tcW w:w="180" w:type="dxa"/>
            <w:vAlign w:val="bottom"/>
            <w:tcBorders>
              <w:top w:val="single" w:sz="8" w:color="auto"/>
              <w:bottom w:val="single" w:sz="8" w:color="auto"/>
            </w:tcBorders>
          </w:tcPr>
          <w:p>
            <w:pPr>
              <w:spacing w:after="0"/>
              <w:rPr>
                <w:sz w:val="14"/>
                <w:szCs w:val="14"/>
                <w:color w:val="auto"/>
              </w:rPr>
            </w:pPr>
          </w:p>
        </w:tc>
        <w:tc>
          <w:tcPr>
            <w:tcW w:w="980" w:type="dxa"/>
            <w:vAlign w:val="bottom"/>
            <w:tcBorders>
              <w:top w:val="single" w:sz="8" w:color="auto"/>
              <w:bottom w:val="single" w:sz="8" w:color="auto"/>
            </w:tcBorders>
          </w:tcPr>
          <w:p>
            <w:pPr>
              <w:jc w:val="right"/>
              <w:ind w:right="340"/>
              <w:spacing w:after="0"/>
              <w:rPr>
                <w:sz w:val="20"/>
                <w:szCs w:val="20"/>
                <w:color w:val="auto"/>
              </w:rPr>
            </w:pPr>
            <w:r>
              <w:rPr>
                <w:rFonts w:ascii="Times New Roman" w:cs="Times New Roman" w:eastAsia="Times New Roman" w:hAnsi="Times New Roman"/>
                <w:sz w:val="14"/>
                <w:szCs w:val="14"/>
                <w:b w:val="1"/>
                <w:bCs w:val="1"/>
                <w:color w:val="auto"/>
              </w:rPr>
              <w:t>2024</w:t>
            </w:r>
          </w:p>
        </w:tc>
        <w:tc>
          <w:tcPr>
            <w:tcW w:w="260" w:type="dxa"/>
            <w:vAlign w:val="bottom"/>
            <w:tcBorders>
              <w:top w:val="single" w:sz="8" w:color="auto"/>
            </w:tcBorders>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right"/>
              <w:ind w:right="337"/>
              <w:spacing w:after="0"/>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right"/>
              <w:ind w:right="340"/>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80" w:type="dxa"/>
            <w:vAlign w:val="bottom"/>
            <w:tcBorders>
              <w:top w:val="single" w:sz="8" w:color="auto"/>
              <w:bottom w:val="single" w:sz="8" w:color="auto"/>
            </w:tcBorders>
          </w:tcPr>
          <w:p>
            <w:pPr>
              <w:jc w:val="right"/>
              <w:ind w:right="357"/>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169"/>
        </w:trPr>
        <w:tc>
          <w:tcPr>
            <w:tcW w:w="586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980" w:type="dxa"/>
            <w:vAlign w:val="bottom"/>
          </w:tcPr>
          <w:p>
            <w:pPr>
              <w:jc w:val="right"/>
              <w:ind w:right="160"/>
              <w:spacing w:after="0"/>
              <w:rPr>
                <w:sz w:val="20"/>
                <w:szCs w:val="20"/>
                <w:color w:val="auto"/>
              </w:rPr>
            </w:pPr>
            <w:r>
              <w:rPr>
                <w:rFonts w:ascii="Times New Roman" w:cs="Times New Roman" w:eastAsia="Times New Roman" w:hAnsi="Times New Roman"/>
                <w:sz w:val="14"/>
                <w:szCs w:val="14"/>
                <w:color w:val="auto"/>
              </w:rPr>
              <w:t>(unaudited)</w:t>
            </w:r>
          </w:p>
        </w:tc>
        <w:tc>
          <w:tcPr>
            <w:tcW w:w="2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jc w:val="right"/>
              <w:ind w:right="157"/>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jc w:val="right"/>
              <w:ind w:right="140"/>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80" w:type="dxa"/>
            <w:vAlign w:val="bottom"/>
          </w:tcPr>
          <w:p>
            <w:pPr>
              <w:jc w:val="right"/>
              <w:ind w:right="157"/>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r>
      <w:tr>
        <w:trPr>
          <w:trHeight w:val="243"/>
        </w:trPr>
        <w:tc>
          <w:tcPr>
            <w:tcW w:w="5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loss from operations:</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Loss from operations</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(432,582 )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(25,247 )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(836,558 )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(72,262 )</w:t>
            </w:r>
          </w:p>
        </w:tc>
      </w:tr>
      <w:tr>
        <w:trPr>
          <w:trHeight w:val="247"/>
        </w:trPr>
        <w:tc>
          <w:tcPr>
            <w:tcW w:w="586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180" w:type="dxa"/>
            <w:vAlign w:val="bottom"/>
            <w:tcBorders>
              <w:bottom w:val="single" w:sz="8" w:color="auto"/>
            </w:tcBorders>
            <w:shd w:val="clear" w:color="auto" w:fill="CFF0FC"/>
          </w:tcPr>
          <w:p>
            <w:pPr>
              <w:spacing w:after="0"/>
              <w:rPr>
                <w:sz w:val="21"/>
                <w:szCs w:val="21"/>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19,377</w:t>
            </w:r>
          </w:p>
        </w:tc>
        <w:tc>
          <w:tcPr>
            <w:tcW w:w="260" w:type="dxa"/>
            <w:vAlign w:val="bottom"/>
            <w:tcBorders>
              <w:bottom w:val="single" w:sz="8" w:color="CFF0FC"/>
            </w:tcBorders>
            <w:shd w:val="clear" w:color="auto" w:fill="CFF0FC"/>
          </w:tcPr>
          <w:p>
            <w:pPr>
              <w:spacing w:after="0"/>
              <w:rPr>
                <w:sz w:val="21"/>
                <w:szCs w:val="21"/>
                <w:color w:val="auto"/>
              </w:rPr>
            </w:pPr>
          </w:p>
        </w:tc>
        <w:tc>
          <w:tcPr>
            <w:tcW w:w="160" w:type="dxa"/>
            <w:vAlign w:val="bottom"/>
            <w:tcBorders>
              <w:bottom w:val="single" w:sz="8" w:color="auto"/>
            </w:tcBorders>
            <w:shd w:val="clear" w:color="auto" w:fill="CFF0FC"/>
          </w:tcPr>
          <w:p>
            <w:pPr>
              <w:spacing w:after="0"/>
              <w:rPr>
                <w:sz w:val="21"/>
                <w:szCs w:val="21"/>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16,806</w:t>
            </w:r>
          </w:p>
        </w:tc>
        <w:tc>
          <w:tcPr>
            <w:tcW w:w="240" w:type="dxa"/>
            <w:vAlign w:val="bottom"/>
            <w:tcBorders>
              <w:bottom w:val="single" w:sz="8" w:color="CFF0FC"/>
            </w:tcBorders>
            <w:shd w:val="clear" w:color="auto" w:fill="CFF0FC"/>
          </w:tcPr>
          <w:p>
            <w:pPr>
              <w:spacing w:after="0"/>
              <w:rPr>
                <w:sz w:val="21"/>
                <w:szCs w:val="21"/>
                <w:color w:val="auto"/>
              </w:rPr>
            </w:pPr>
          </w:p>
        </w:tc>
        <w:tc>
          <w:tcPr>
            <w:tcW w:w="160" w:type="dxa"/>
            <w:vAlign w:val="bottom"/>
            <w:tcBorders>
              <w:bottom w:val="single" w:sz="8" w:color="auto"/>
            </w:tcBorders>
            <w:shd w:val="clear" w:color="auto" w:fill="CFF0FC"/>
          </w:tcPr>
          <w:p>
            <w:pPr>
              <w:spacing w:after="0"/>
              <w:rPr>
                <w:sz w:val="21"/>
                <w:szCs w:val="21"/>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57,789</w:t>
            </w:r>
          </w:p>
        </w:tc>
        <w:tc>
          <w:tcPr>
            <w:tcW w:w="240" w:type="dxa"/>
            <w:vAlign w:val="bottom"/>
            <w:tcBorders>
              <w:bottom w:val="single" w:sz="8" w:color="CFF0FC"/>
            </w:tcBorders>
            <w:shd w:val="clear" w:color="auto" w:fill="CFF0FC"/>
          </w:tcPr>
          <w:p>
            <w:pPr>
              <w:spacing w:after="0"/>
              <w:rPr>
                <w:sz w:val="21"/>
                <w:szCs w:val="21"/>
                <w:color w:val="auto"/>
              </w:rPr>
            </w:pPr>
          </w:p>
        </w:tc>
        <w:tc>
          <w:tcPr>
            <w:tcW w:w="160" w:type="dxa"/>
            <w:vAlign w:val="bottom"/>
            <w:tcBorders>
              <w:bottom w:val="single" w:sz="8" w:color="auto"/>
            </w:tcBorders>
            <w:shd w:val="clear" w:color="auto" w:fill="CFF0FC"/>
          </w:tcPr>
          <w:p>
            <w:pPr>
              <w:spacing w:after="0"/>
              <w:rPr>
                <w:sz w:val="21"/>
                <w:szCs w:val="21"/>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49,855</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6"/>
        </w:trPr>
        <w:tc>
          <w:tcPr>
            <w:tcW w:w="5860" w:type="dxa"/>
            <w:vAlign w:val="bottom"/>
          </w:tcPr>
          <w:p>
            <w:pPr>
              <w:ind w:left="240"/>
              <w:spacing w:after="0"/>
              <w:rPr>
                <w:sz w:val="20"/>
                <w:szCs w:val="20"/>
                <w:color w:val="auto"/>
              </w:rPr>
            </w:pPr>
            <w:r>
              <w:rPr>
                <w:rFonts w:ascii="Times New Roman" w:cs="Times New Roman" w:eastAsia="Times New Roman" w:hAnsi="Times New Roman"/>
                <w:sz w:val="18"/>
                <w:szCs w:val="18"/>
                <w:color w:val="auto"/>
              </w:rPr>
              <w:t>Non-GAAP loss from operations</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(413,205 )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(8,441 )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(778,769 )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(22,407 )</w:t>
            </w:r>
          </w:p>
        </w:tc>
      </w:tr>
      <w:tr>
        <w:trPr>
          <w:trHeight w:val="20"/>
        </w:trPr>
        <w:tc>
          <w:tcPr>
            <w:tcW w:w="58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96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96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203"/>
        </w:trPr>
        <w:tc>
          <w:tcPr>
            <w:tcW w:w="586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96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96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4462780</wp:posOffset>
            </wp:positionH>
            <wp:positionV relativeFrom="paragraph">
              <wp:posOffset>-976630</wp:posOffset>
            </wp:positionV>
            <wp:extent cx="76835" cy="825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5337175</wp:posOffset>
            </wp:positionH>
            <wp:positionV relativeFrom="paragraph">
              <wp:posOffset>-976630</wp:posOffset>
            </wp:positionV>
            <wp:extent cx="68580" cy="825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-976630</wp:posOffset>
            </wp:positionV>
            <wp:extent cx="68580" cy="825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-976630</wp:posOffset>
            </wp:positionV>
            <wp:extent cx="68580" cy="825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3" w:name="page14"/>
    <w:bookmarkEnd w:id="13"/>
    <w:p>
      <w:pPr>
        <w:jc w:val="center"/>
        <w:spacing w:after="0" w:line="265" w:lineRule="auto"/>
        <w:rPr>
          <w:sz w:val="20"/>
          <w:szCs w:val="20"/>
          <w:color w:val="auto"/>
        </w:rPr>
      </w:pPr>
      <w:r>
        <w:rPr>
          <w:rFonts w:ascii="Times New Roman" w:cs="Times New Roman" w:eastAsia="Times New Roman" w:hAnsi="Times New Roman"/>
          <w:sz w:val="18"/>
          <w:szCs w:val="18"/>
          <w:b w:val="1"/>
          <w:bCs w:val="1"/>
          <w:color w:val="auto"/>
        </w:rPr>
        <w:t>MICROSTRATEGY INCORPORATED RECONCILIATION OF GAAP TO NON-GAAP MEASURES NET (LOSS) INCOME AND DILUTED (LOSS) EARNINGS PER SHARE (in thousands, except per share data)</w:t>
      </w:r>
    </w:p>
    <w:p>
      <w:pPr>
        <w:spacing w:after="0" w:line="200" w:lineRule="exact"/>
        <w:rPr>
          <w:sz w:val="20"/>
          <w:szCs w:val="20"/>
          <w:color w:val="auto"/>
        </w:rPr>
      </w:pPr>
    </w:p>
    <w:p>
      <w:pPr>
        <w:spacing w:after="0" w:line="205"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86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2600" w:type="dxa"/>
            <w:vAlign w:val="bottom"/>
            <w:gridSpan w:val="5"/>
          </w:tcPr>
          <w:p>
            <w:pPr>
              <w:jc w:val="right"/>
              <w:ind w:right="84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60" w:type="dxa"/>
            <w:vAlign w:val="bottom"/>
          </w:tcPr>
          <w:p>
            <w:pPr>
              <w:spacing w:after="0"/>
              <w:rPr>
                <w:sz w:val="15"/>
                <w:szCs w:val="15"/>
                <w:color w:val="auto"/>
              </w:rPr>
            </w:pPr>
          </w:p>
        </w:tc>
        <w:tc>
          <w:tcPr>
            <w:tcW w:w="2440" w:type="dxa"/>
            <w:vAlign w:val="bottom"/>
            <w:gridSpan w:val="5"/>
          </w:tcPr>
          <w:p>
            <w:pPr>
              <w:jc w:val="right"/>
              <w:ind w:right="740"/>
              <w:spacing w:after="0"/>
              <w:rPr>
                <w:sz w:val="20"/>
                <w:szCs w:val="20"/>
                <w:color w:val="auto"/>
              </w:rPr>
            </w:pPr>
            <w:r>
              <w:rPr>
                <w:rFonts w:ascii="Times New Roman" w:cs="Times New Roman" w:eastAsia="Times New Roman" w:hAnsi="Times New Roman"/>
                <w:sz w:val="14"/>
                <w:szCs w:val="14"/>
                <w:b w:val="1"/>
                <w:bCs w:val="1"/>
                <w:color w:val="auto"/>
              </w:rPr>
              <w:t>Nine Months Ended</w:t>
            </w:r>
          </w:p>
        </w:tc>
      </w:tr>
      <w:tr>
        <w:trPr>
          <w:trHeight w:val="187"/>
        </w:trPr>
        <w:tc>
          <w:tcPr>
            <w:tcW w:w="58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2600" w:type="dxa"/>
            <w:vAlign w:val="bottom"/>
            <w:gridSpan w:val="5"/>
          </w:tcPr>
          <w:p>
            <w:pPr>
              <w:jc w:val="right"/>
              <w:ind w:right="106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160" w:type="dxa"/>
            <w:vAlign w:val="bottom"/>
          </w:tcPr>
          <w:p>
            <w:pPr>
              <w:spacing w:after="0"/>
              <w:rPr>
                <w:sz w:val="16"/>
                <w:szCs w:val="16"/>
                <w:color w:val="auto"/>
              </w:rPr>
            </w:pPr>
          </w:p>
        </w:tc>
        <w:tc>
          <w:tcPr>
            <w:tcW w:w="2440" w:type="dxa"/>
            <w:vAlign w:val="bottom"/>
            <w:gridSpan w:val="5"/>
          </w:tcPr>
          <w:p>
            <w:pPr>
              <w:jc w:val="right"/>
              <w:ind w:right="920"/>
              <w:spacing w:after="0"/>
              <w:rPr>
                <w:sz w:val="20"/>
                <w:szCs w:val="20"/>
                <w:color w:val="auto"/>
              </w:rPr>
            </w:pPr>
            <w:r>
              <w:rPr>
                <w:rFonts w:ascii="Times New Roman" w:cs="Times New Roman" w:eastAsia="Times New Roman" w:hAnsi="Times New Roman"/>
                <w:sz w:val="14"/>
                <w:szCs w:val="14"/>
                <w:b w:val="1"/>
                <w:bCs w:val="1"/>
                <w:color w:val="auto"/>
              </w:rPr>
              <w:t>September 30,</w:t>
            </w:r>
          </w:p>
        </w:tc>
      </w:tr>
      <w:tr>
        <w:trPr>
          <w:trHeight w:val="169"/>
        </w:trPr>
        <w:tc>
          <w:tcPr>
            <w:tcW w:w="5860" w:type="dxa"/>
            <w:vAlign w:val="bottom"/>
          </w:tcPr>
          <w:p>
            <w:pPr>
              <w:spacing w:after="0"/>
              <w:rPr>
                <w:sz w:val="14"/>
                <w:szCs w:val="14"/>
                <w:color w:val="auto"/>
              </w:rPr>
            </w:pPr>
          </w:p>
        </w:tc>
        <w:tc>
          <w:tcPr>
            <w:tcW w:w="180" w:type="dxa"/>
            <w:vAlign w:val="bottom"/>
            <w:tcBorders>
              <w:top w:val="single" w:sz="8" w:color="auto"/>
              <w:bottom w:val="single" w:sz="8" w:color="auto"/>
            </w:tcBorders>
          </w:tcPr>
          <w:p>
            <w:pPr>
              <w:spacing w:after="0"/>
              <w:rPr>
                <w:sz w:val="14"/>
                <w:szCs w:val="14"/>
                <w:color w:val="auto"/>
              </w:rPr>
            </w:pPr>
          </w:p>
        </w:tc>
        <w:tc>
          <w:tcPr>
            <w:tcW w:w="980" w:type="dxa"/>
            <w:vAlign w:val="bottom"/>
            <w:tcBorders>
              <w:top w:val="single" w:sz="8" w:color="auto"/>
              <w:bottom w:val="single" w:sz="8" w:color="auto"/>
            </w:tcBorders>
          </w:tcPr>
          <w:p>
            <w:pPr>
              <w:jc w:val="right"/>
              <w:ind w:right="335"/>
              <w:spacing w:after="0"/>
              <w:rPr>
                <w:sz w:val="20"/>
                <w:szCs w:val="20"/>
                <w:color w:val="auto"/>
              </w:rPr>
            </w:pPr>
            <w:r>
              <w:rPr>
                <w:rFonts w:ascii="Times New Roman" w:cs="Times New Roman" w:eastAsia="Times New Roman" w:hAnsi="Times New Roman"/>
                <w:sz w:val="14"/>
                <w:szCs w:val="14"/>
                <w:b w:val="1"/>
                <w:bCs w:val="1"/>
                <w:color w:val="auto"/>
              </w:rPr>
              <w:t>2024</w:t>
            </w:r>
          </w:p>
        </w:tc>
        <w:tc>
          <w:tcPr>
            <w:tcW w:w="260" w:type="dxa"/>
            <w:vAlign w:val="bottom"/>
            <w:tcBorders>
              <w:top w:val="single" w:sz="8" w:color="auto"/>
            </w:tcBorders>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right"/>
              <w:ind w:right="333"/>
              <w:spacing w:after="0"/>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right"/>
              <w:ind w:right="335"/>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80" w:type="dxa"/>
            <w:vAlign w:val="bottom"/>
            <w:tcBorders>
              <w:top w:val="single" w:sz="8" w:color="auto"/>
              <w:bottom w:val="single" w:sz="8" w:color="auto"/>
            </w:tcBorders>
          </w:tcPr>
          <w:p>
            <w:pPr>
              <w:jc w:val="right"/>
              <w:ind w:right="353"/>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169"/>
        </w:trPr>
        <w:tc>
          <w:tcPr>
            <w:tcW w:w="586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980" w:type="dxa"/>
            <w:vAlign w:val="bottom"/>
          </w:tcPr>
          <w:p>
            <w:pPr>
              <w:jc w:val="right"/>
              <w:ind w:right="155"/>
              <w:spacing w:after="0"/>
              <w:rPr>
                <w:sz w:val="20"/>
                <w:szCs w:val="20"/>
                <w:color w:val="auto"/>
              </w:rPr>
            </w:pPr>
            <w:r>
              <w:rPr>
                <w:rFonts w:ascii="Times New Roman" w:cs="Times New Roman" w:eastAsia="Times New Roman" w:hAnsi="Times New Roman"/>
                <w:sz w:val="14"/>
                <w:szCs w:val="14"/>
                <w:color w:val="auto"/>
              </w:rPr>
              <w:t>(unaudited)</w:t>
            </w:r>
          </w:p>
        </w:tc>
        <w:tc>
          <w:tcPr>
            <w:tcW w:w="2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jc w:val="right"/>
              <w:ind w:right="153"/>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jc w:val="right"/>
              <w:ind w:right="135"/>
              <w:spacing w:after="0"/>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80" w:type="dxa"/>
            <w:vAlign w:val="bottom"/>
          </w:tcPr>
          <w:p>
            <w:pPr>
              <w:jc w:val="right"/>
              <w:ind w:right="153"/>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r>
      <w:tr>
        <w:trPr>
          <w:trHeight w:val="243"/>
        </w:trPr>
        <w:tc>
          <w:tcPr>
            <w:tcW w:w="5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net (loss) income:</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Net (loss) income</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(340,174 )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(143,441 )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(495,851 )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339,995</w:t>
            </w:r>
          </w:p>
        </w:tc>
        <w:tc>
          <w:tcPr>
            <w:tcW w:w="100" w:type="dxa"/>
            <w:vAlign w:val="bottom"/>
          </w:tcPr>
          <w:p>
            <w:pPr>
              <w:spacing w:after="0"/>
              <w:rPr>
                <w:sz w:val="20"/>
                <w:szCs w:val="20"/>
                <w:color w:val="auto"/>
              </w:rPr>
            </w:pPr>
          </w:p>
        </w:tc>
      </w:tr>
      <w:tr>
        <w:trPr>
          <w:trHeight w:val="247"/>
        </w:trPr>
        <w:tc>
          <w:tcPr>
            <w:tcW w:w="586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19,377</w:t>
            </w: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16,806</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57,789</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49,855</w:t>
            </w:r>
          </w:p>
        </w:tc>
        <w:tc>
          <w:tcPr>
            <w:tcW w:w="100" w:type="dxa"/>
            <w:vAlign w:val="bottom"/>
            <w:shd w:val="clear" w:color="auto" w:fill="CFF0FC"/>
          </w:tcPr>
          <w:p>
            <w:pPr>
              <w:spacing w:after="0"/>
              <w:rPr>
                <w:sz w:val="21"/>
                <w:szCs w:val="21"/>
                <w:color w:val="auto"/>
              </w:rPr>
            </w:pPr>
          </w:p>
        </w:tc>
      </w:tr>
      <w:tr>
        <w:trPr>
          <w:trHeight w:val="239"/>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Interest expense arising from amortization of debt issuance costs</w:t>
            </w:r>
          </w:p>
        </w:tc>
        <w:tc>
          <w:tcPr>
            <w:tcW w:w="18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3,832</w:t>
            </w: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2,199</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10,231</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6,599</w:t>
            </w:r>
          </w:p>
        </w:tc>
        <w:tc>
          <w:tcPr>
            <w:tcW w:w="100" w:type="dxa"/>
            <w:vAlign w:val="bottom"/>
          </w:tcPr>
          <w:p>
            <w:pPr>
              <w:spacing w:after="0"/>
              <w:rPr>
                <w:sz w:val="20"/>
                <w:szCs w:val="20"/>
                <w:color w:val="auto"/>
              </w:rPr>
            </w:pPr>
          </w:p>
        </w:tc>
      </w:tr>
      <w:tr>
        <w:trPr>
          <w:trHeight w:val="247"/>
        </w:trPr>
        <w:tc>
          <w:tcPr>
            <w:tcW w:w="586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Loss (gain) on debt extinguishment</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22,933</w:t>
            </w: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22,933</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(44,686 )</w:t>
            </w:r>
          </w:p>
        </w:tc>
      </w:tr>
      <w:tr>
        <w:trPr>
          <w:trHeight w:val="243"/>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Income tax effects (1)</w:t>
            </w:r>
          </w:p>
        </w:tc>
        <w:tc>
          <w:tcPr>
            <w:tcW w:w="180" w:type="dxa"/>
            <w:vAlign w:val="bottom"/>
          </w:tcPr>
          <w:p>
            <w:pPr>
              <w:spacing w:after="0"/>
              <w:rPr>
                <w:sz w:val="21"/>
                <w:szCs w:val="21"/>
                <w:color w:val="auto"/>
              </w:rPr>
            </w:pPr>
          </w:p>
        </w:tc>
        <w:tc>
          <w:tcPr>
            <w:tcW w:w="12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(13,764 )</w:t>
            </w:r>
          </w:p>
        </w:tc>
        <w:tc>
          <w:tcPr>
            <w:tcW w:w="160" w:type="dxa"/>
            <w:vAlign w:val="bottom"/>
          </w:tcPr>
          <w:p>
            <w:pPr>
              <w:spacing w:after="0"/>
              <w:rPr>
                <w:sz w:val="21"/>
                <w:szCs w:val="21"/>
                <w:color w:val="auto"/>
              </w:rPr>
            </w:pP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(3,230 )</w:t>
            </w:r>
          </w:p>
        </w:tc>
        <w:tc>
          <w:tcPr>
            <w:tcW w:w="160" w:type="dxa"/>
            <w:vAlign w:val="bottom"/>
          </w:tcPr>
          <w:p>
            <w:pPr>
              <w:spacing w:after="0"/>
              <w:rPr>
                <w:sz w:val="21"/>
                <w:szCs w:val="21"/>
                <w:color w:val="auto"/>
              </w:rPr>
            </w:pP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(180,964 )</w:t>
            </w:r>
          </w:p>
        </w:tc>
        <w:tc>
          <w:tcPr>
            <w:tcW w:w="16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2,538</w:t>
            </w:r>
          </w:p>
        </w:tc>
        <w:tc>
          <w:tcPr>
            <w:tcW w:w="100" w:type="dxa"/>
            <w:vAlign w:val="bottom"/>
          </w:tcPr>
          <w:p>
            <w:pPr>
              <w:spacing w:after="0"/>
              <w:rPr>
                <w:sz w:val="21"/>
                <w:szCs w:val="21"/>
                <w:color w:val="auto"/>
              </w:rPr>
            </w:pPr>
          </w:p>
        </w:tc>
      </w:tr>
      <w:tr>
        <w:trPr>
          <w:trHeight w:val="20"/>
        </w:trPr>
        <w:tc>
          <w:tcPr>
            <w:tcW w:w="58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77"/>
        </w:trPr>
        <w:tc>
          <w:tcPr>
            <w:tcW w:w="5860" w:type="dxa"/>
            <w:vAlign w:val="bottom"/>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Non-GAAP net (loss) income</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(307,796 )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(127,666 )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(585,862 )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354,301</w:t>
            </w:r>
          </w:p>
        </w:tc>
        <w:tc>
          <w:tcPr>
            <w:tcW w:w="100" w:type="dxa"/>
            <w:vAlign w:val="bottom"/>
            <w:shd w:val="clear" w:color="auto" w:fill="CFF0FC"/>
          </w:tcPr>
          <w:p>
            <w:pPr>
              <w:spacing w:after="0"/>
              <w:rPr>
                <w:sz w:val="24"/>
                <w:szCs w:val="24"/>
                <w:color w:val="auto"/>
              </w:rPr>
            </w:pPr>
          </w:p>
        </w:tc>
      </w:tr>
      <w:tr>
        <w:trPr>
          <w:trHeight w:val="223"/>
        </w:trPr>
        <w:tc>
          <w:tcPr>
            <w:tcW w:w="5860" w:type="dxa"/>
            <w:vAlign w:val="bottom"/>
            <w:tcBorders>
              <w:top w:val="single" w:sz="8" w:color="CFF0FC"/>
            </w:tcBorders>
          </w:tcPr>
          <w:p>
            <w:pPr>
              <w:spacing w:after="0"/>
              <w:rPr>
                <w:sz w:val="19"/>
                <w:szCs w:val="19"/>
                <w:color w:val="auto"/>
              </w:rPr>
            </w:pPr>
          </w:p>
        </w:tc>
        <w:tc>
          <w:tcPr>
            <w:tcW w:w="180" w:type="dxa"/>
            <w:vAlign w:val="bottom"/>
            <w:tcBorders>
              <w:top w:val="single" w:sz="8" w:color="auto"/>
            </w:tcBorders>
          </w:tcPr>
          <w:p>
            <w:pPr>
              <w:spacing w:after="0"/>
              <w:rPr>
                <w:sz w:val="19"/>
                <w:szCs w:val="19"/>
                <w:color w:val="auto"/>
              </w:rPr>
            </w:pPr>
          </w:p>
        </w:tc>
        <w:tc>
          <w:tcPr>
            <w:tcW w:w="980" w:type="dxa"/>
            <w:vAlign w:val="bottom"/>
            <w:tcBorders>
              <w:top w:val="single" w:sz="8" w:color="auto"/>
            </w:tcBorders>
          </w:tcPr>
          <w:p>
            <w:pPr>
              <w:spacing w:after="0"/>
              <w:rPr>
                <w:sz w:val="19"/>
                <w:szCs w:val="19"/>
                <w:color w:val="auto"/>
              </w:rPr>
            </w:pPr>
          </w:p>
        </w:tc>
        <w:tc>
          <w:tcPr>
            <w:tcW w:w="260" w:type="dxa"/>
            <w:vAlign w:val="bottom"/>
            <w:tcBorders>
              <w:top w:val="single" w:sz="8" w:color="CFF0FC"/>
            </w:tcBorders>
          </w:tcPr>
          <w:p>
            <w:pPr>
              <w:spacing w:after="0"/>
              <w:rPr>
                <w:sz w:val="19"/>
                <w:szCs w:val="19"/>
                <w:color w:val="auto"/>
              </w:rPr>
            </w:pPr>
          </w:p>
        </w:tc>
        <w:tc>
          <w:tcPr>
            <w:tcW w:w="160" w:type="dxa"/>
            <w:vAlign w:val="bottom"/>
            <w:tcBorders>
              <w:top w:val="single" w:sz="8" w:color="auto"/>
            </w:tcBorders>
          </w:tcPr>
          <w:p>
            <w:pPr>
              <w:spacing w:after="0"/>
              <w:rPr>
                <w:sz w:val="19"/>
                <w:szCs w:val="19"/>
                <w:color w:val="auto"/>
              </w:rPr>
            </w:pPr>
          </w:p>
        </w:tc>
        <w:tc>
          <w:tcPr>
            <w:tcW w:w="960" w:type="dxa"/>
            <w:vAlign w:val="bottom"/>
            <w:tcBorders>
              <w:top w:val="single" w:sz="8" w:color="auto"/>
            </w:tcBorders>
          </w:tcPr>
          <w:p>
            <w:pPr>
              <w:spacing w:after="0"/>
              <w:rPr>
                <w:sz w:val="19"/>
                <w:szCs w:val="19"/>
                <w:color w:val="auto"/>
              </w:rPr>
            </w:pPr>
          </w:p>
        </w:tc>
        <w:tc>
          <w:tcPr>
            <w:tcW w:w="240" w:type="dxa"/>
            <w:vAlign w:val="bottom"/>
            <w:tcBorders>
              <w:top w:val="single" w:sz="8" w:color="CFF0FC"/>
            </w:tcBorders>
          </w:tcPr>
          <w:p>
            <w:pPr>
              <w:spacing w:after="0"/>
              <w:rPr>
                <w:sz w:val="19"/>
                <w:szCs w:val="19"/>
                <w:color w:val="auto"/>
              </w:rPr>
            </w:pPr>
          </w:p>
        </w:tc>
        <w:tc>
          <w:tcPr>
            <w:tcW w:w="160" w:type="dxa"/>
            <w:vAlign w:val="bottom"/>
            <w:tcBorders>
              <w:top w:val="single" w:sz="8" w:color="auto"/>
            </w:tcBorders>
          </w:tcPr>
          <w:p>
            <w:pPr>
              <w:spacing w:after="0"/>
              <w:rPr>
                <w:sz w:val="19"/>
                <w:szCs w:val="19"/>
                <w:color w:val="auto"/>
              </w:rPr>
            </w:pPr>
          </w:p>
        </w:tc>
        <w:tc>
          <w:tcPr>
            <w:tcW w:w="960" w:type="dxa"/>
            <w:vAlign w:val="bottom"/>
            <w:tcBorders>
              <w:top w:val="single" w:sz="8" w:color="auto"/>
            </w:tcBorders>
          </w:tcPr>
          <w:p>
            <w:pPr>
              <w:spacing w:after="0"/>
              <w:rPr>
                <w:sz w:val="19"/>
                <w:szCs w:val="19"/>
                <w:color w:val="auto"/>
              </w:rPr>
            </w:pPr>
          </w:p>
        </w:tc>
        <w:tc>
          <w:tcPr>
            <w:tcW w:w="240" w:type="dxa"/>
            <w:vAlign w:val="bottom"/>
            <w:tcBorders>
              <w:top w:val="single" w:sz="8" w:color="CFF0FC"/>
            </w:tcBorders>
          </w:tcPr>
          <w:p>
            <w:pPr>
              <w:spacing w:after="0"/>
              <w:rPr>
                <w:sz w:val="19"/>
                <w:szCs w:val="19"/>
                <w:color w:val="auto"/>
              </w:rPr>
            </w:pPr>
          </w:p>
        </w:tc>
        <w:tc>
          <w:tcPr>
            <w:tcW w:w="160" w:type="dxa"/>
            <w:vAlign w:val="bottom"/>
            <w:tcBorders>
              <w:top w:val="single" w:sz="8" w:color="auto"/>
            </w:tcBorders>
          </w:tcPr>
          <w:p>
            <w:pPr>
              <w:spacing w:after="0"/>
              <w:rPr>
                <w:sz w:val="19"/>
                <w:szCs w:val="19"/>
                <w:color w:val="auto"/>
              </w:rPr>
            </w:pPr>
          </w:p>
        </w:tc>
        <w:tc>
          <w:tcPr>
            <w:tcW w:w="980" w:type="dxa"/>
            <w:vAlign w:val="bottom"/>
            <w:tcBorders>
              <w:top w:val="single" w:sz="8" w:color="auto"/>
            </w:tcBorders>
          </w:tcPr>
          <w:p>
            <w:pPr>
              <w:spacing w:after="0"/>
              <w:rPr>
                <w:sz w:val="19"/>
                <w:szCs w:val="19"/>
                <w:color w:val="auto"/>
              </w:rPr>
            </w:pPr>
          </w:p>
        </w:tc>
        <w:tc>
          <w:tcPr>
            <w:tcW w:w="100" w:type="dxa"/>
            <w:vAlign w:val="bottom"/>
            <w:tcBorders>
              <w:top w:val="single" w:sz="8" w:color="CFF0FC"/>
            </w:tcBorders>
          </w:tcPr>
          <w:p>
            <w:pPr>
              <w:spacing w:after="0"/>
              <w:rPr>
                <w:sz w:val="19"/>
                <w:szCs w:val="19"/>
                <w:color w:val="auto"/>
              </w:rPr>
            </w:pPr>
          </w:p>
        </w:tc>
      </w:tr>
      <w:tr>
        <w:trPr>
          <w:trHeight w:val="243"/>
        </w:trPr>
        <w:tc>
          <w:tcPr>
            <w:tcW w:w="5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diluted (loss) earnings per share (2):</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Diluted (loss) earnings per share</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(1.72 )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(1.01 )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(2.71 )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2.39</w:t>
            </w:r>
          </w:p>
        </w:tc>
        <w:tc>
          <w:tcPr>
            <w:tcW w:w="100" w:type="dxa"/>
            <w:vAlign w:val="bottom"/>
          </w:tcPr>
          <w:p>
            <w:pPr>
              <w:spacing w:after="0"/>
              <w:rPr>
                <w:sz w:val="20"/>
                <w:szCs w:val="20"/>
                <w:color w:val="auto"/>
              </w:rPr>
            </w:pPr>
          </w:p>
        </w:tc>
      </w:tr>
      <w:tr>
        <w:trPr>
          <w:trHeight w:val="247"/>
        </w:trPr>
        <w:tc>
          <w:tcPr>
            <w:tcW w:w="586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Share-based compensation expense (per diluted share)</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0.10</w:t>
            </w: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0.12</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0.32</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0.34</w:t>
            </w:r>
          </w:p>
        </w:tc>
        <w:tc>
          <w:tcPr>
            <w:tcW w:w="100" w:type="dxa"/>
            <w:vAlign w:val="bottom"/>
            <w:shd w:val="clear" w:color="auto" w:fill="CFF0FC"/>
          </w:tcPr>
          <w:p>
            <w:pPr>
              <w:spacing w:after="0"/>
              <w:rPr>
                <w:sz w:val="21"/>
                <w:szCs w:val="21"/>
                <w:color w:val="auto"/>
              </w:rPr>
            </w:pPr>
          </w:p>
        </w:tc>
      </w:tr>
      <w:tr>
        <w:trPr>
          <w:trHeight w:val="211"/>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Interest expense arising from amortization of debt issuance costs (per diluted</w:t>
            </w:r>
          </w:p>
        </w:tc>
        <w:tc>
          <w:tcPr>
            <w:tcW w:w="18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41"/>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share) (3)</w:t>
            </w:r>
          </w:p>
        </w:tc>
        <w:tc>
          <w:tcPr>
            <w:tcW w:w="18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0.02</w:t>
            </w: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0.02</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0.06</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0.01</w:t>
            </w:r>
          </w:p>
        </w:tc>
        <w:tc>
          <w:tcPr>
            <w:tcW w:w="100" w:type="dxa"/>
            <w:vAlign w:val="bottom"/>
          </w:tcPr>
          <w:p>
            <w:pPr>
              <w:spacing w:after="0"/>
              <w:rPr>
                <w:sz w:val="20"/>
                <w:szCs w:val="20"/>
                <w:color w:val="auto"/>
              </w:rPr>
            </w:pPr>
          </w:p>
        </w:tc>
      </w:tr>
      <w:tr>
        <w:trPr>
          <w:trHeight w:val="250"/>
        </w:trPr>
        <w:tc>
          <w:tcPr>
            <w:tcW w:w="586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Loss (gain) on debt extinguishment (per diluted share)</w:t>
            </w:r>
          </w:p>
        </w:tc>
        <w:tc>
          <w:tcPr>
            <w:tcW w:w="18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0.12</w:t>
            </w:r>
          </w:p>
        </w:tc>
        <w:tc>
          <w:tcPr>
            <w:tcW w:w="26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0.00</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0.13</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(0.31 )</w:t>
            </w:r>
          </w:p>
        </w:tc>
      </w:tr>
      <w:tr>
        <w:trPr>
          <w:trHeight w:val="243"/>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Income tax effects (per diluted share) (3)</w:t>
            </w:r>
          </w:p>
        </w:tc>
        <w:tc>
          <w:tcPr>
            <w:tcW w:w="180" w:type="dxa"/>
            <w:vAlign w:val="bottom"/>
          </w:tcPr>
          <w:p>
            <w:pPr>
              <w:spacing w:after="0"/>
              <w:rPr>
                <w:sz w:val="21"/>
                <w:szCs w:val="21"/>
                <w:color w:val="auto"/>
              </w:rPr>
            </w:pPr>
          </w:p>
        </w:tc>
        <w:tc>
          <w:tcPr>
            <w:tcW w:w="12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(0.08 )</w:t>
            </w:r>
          </w:p>
        </w:tc>
        <w:tc>
          <w:tcPr>
            <w:tcW w:w="160" w:type="dxa"/>
            <w:vAlign w:val="bottom"/>
          </w:tcPr>
          <w:p>
            <w:pPr>
              <w:spacing w:after="0"/>
              <w:rPr>
                <w:sz w:val="21"/>
                <w:szCs w:val="21"/>
                <w:color w:val="auto"/>
              </w:rPr>
            </w:pP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(0.03 )</w:t>
            </w:r>
          </w:p>
        </w:tc>
        <w:tc>
          <w:tcPr>
            <w:tcW w:w="160" w:type="dxa"/>
            <w:vAlign w:val="bottom"/>
          </w:tcPr>
          <w:p>
            <w:pPr>
              <w:spacing w:after="0"/>
              <w:rPr>
                <w:sz w:val="21"/>
                <w:szCs w:val="21"/>
                <w:color w:val="auto"/>
              </w:rPr>
            </w:pP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(1.01 )</w:t>
            </w:r>
          </w:p>
        </w:tc>
        <w:tc>
          <w:tcPr>
            <w:tcW w:w="16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0.03</w:t>
            </w:r>
          </w:p>
        </w:tc>
        <w:tc>
          <w:tcPr>
            <w:tcW w:w="100" w:type="dxa"/>
            <w:vAlign w:val="bottom"/>
          </w:tcPr>
          <w:p>
            <w:pPr>
              <w:spacing w:after="0"/>
              <w:rPr>
                <w:sz w:val="21"/>
                <w:szCs w:val="21"/>
                <w:color w:val="auto"/>
              </w:rPr>
            </w:pPr>
          </w:p>
        </w:tc>
      </w:tr>
      <w:tr>
        <w:trPr>
          <w:trHeight w:val="20"/>
        </w:trPr>
        <w:tc>
          <w:tcPr>
            <w:tcW w:w="58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56"/>
        </w:trPr>
        <w:tc>
          <w:tcPr>
            <w:tcW w:w="5860" w:type="dxa"/>
            <w:vAlign w:val="bottom"/>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Non-GAAP diluted (loss) earnings per share</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(1.56 )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(0.90 )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(3.21 )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2.46</w:t>
            </w:r>
          </w:p>
        </w:tc>
        <w:tc>
          <w:tcPr>
            <w:tcW w:w="100" w:type="dxa"/>
            <w:vAlign w:val="bottom"/>
            <w:shd w:val="clear" w:color="auto" w:fill="CFF0FC"/>
          </w:tcPr>
          <w:p>
            <w:pPr>
              <w:spacing w:after="0"/>
              <w:rPr>
                <w:sz w:val="22"/>
                <w:szCs w:val="22"/>
                <w:color w:val="auto"/>
              </w:rPr>
            </w:pPr>
          </w:p>
        </w:tc>
      </w:tr>
      <w:tr>
        <w:trPr>
          <w:trHeight w:val="20"/>
        </w:trPr>
        <w:tc>
          <w:tcPr>
            <w:tcW w:w="586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2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96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96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4462780</wp:posOffset>
            </wp:positionH>
            <wp:positionV relativeFrom="paragraph">
              <wp:posOffset>-1430655</wp:posOffset>
            </wp:positionV>
            <wp:extent cx="76835" cy="825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4462780</wp:posOffset>
            </wp:positionH>
            <wp:positionV relativeFrom="paragraph">
              <wp:posOffset>-1414145</wp:posOffset>
            </wp:positionV>
            <wp:extent cx="76835" cy="889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5337175</wp:posOffset>
            </wp:positionH>
            <wp:positionV relativeFrom="paragraph">
              <wp:posOffset>-1430655</wp:posOffset>
            </wp:positionV>
            <wp:extent cx="68580" cy="825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5337175</wp:posOffset>
            </wp:positionH>
            <wp:positionV relativeFrom="paragraph">
              <wp:posOffset>-1414145</wp:posOffset>
            </wp:positionV>
            <wp:extent cx="68580" cy="889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-1430655</wp:posOffset>
            </wp:positionV>
            <wp:extent cx="68580" cy="825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-1414145</wp:posOffset>
            </wp:positionV>
            <wp:extent cx="68580" cy="889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-1430655</wp:posOffset>
            </wp:positionV>
            <wp:extent cx="68580" cy="8255"/>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-1414145</wp:posOffset>
            </wp:positionV>
            <wp:extent cx="68580" cy="889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4462780</wp:posOffset>
            </wp:positionH>
            <wp:positionV relativeFrom="paragraph">
              <wp:posOffset>-24765</wp:posOffset>
            </wp:positionV>
            <wp:extent cx="76835" cy="889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4462780</wp:posOffset>
            </wp:positionH>
            <wp:positionV relativeFrom="paragraph">
              <wp:posOffset>-7620</wp:posOffset>
            </wp:positionV>
            <wp:extent cx="76835" cy="825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5337175</wp:posOffset>
            </wp:positionH>
            <wp:positionV relativeFrom="paragraph">
              <wp:posOffset>-24765</wp:posOffset>
            </wp:positionV>
            <wp:extent cx="68580" cy="889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5337175</wp:posOffset>
            </wp:positionH>
            <wp:positionV relativeFrom="paragraph">
              <wp:posOffset>-7620</wp:posOffset>
            </wp:positionV>
            <wp:extent cx="68580" cy="8255"/>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-24765</wp:posOffset>
            </wp:positionV>
            <wp:extent cx="68580" cy="889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6202680</wp:posOffset>
            </wp:positionH>
            <wp:positionV relativeFrom="paragraph">
              <wp:posOffset>-7620</wp:posOffset>
            </wp:positionV>
            <wp:extent cx="68580" cy="8255"/>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89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both"/>
        <w:ind w:left="520" w:hanging="512"/>
        <w:spacing w:after="0" w:line="266" w:lineRule="auto"/>
        <w:tabs>
          <w:tab w:leader="none" w:pos="52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Income tax effects reflect the net tax effects of share-based compensation, which includes tax benefits and expenses on exercises of stock options and vesting of share-settled restricted stock units, interest expense for amortization of debt issuance costs, and gains and losses on debt extinguishment.</w:t>
      </w:r>
    </w:p>
    <w:p>
      <w:pPr>
        <w:spacing w:after="0" w:line="135" w:lineRule="exact"/>
        <w:rPr>
          <w:rFonts w:ascii="Times New Roman" w:cs="Times New Roman" w:eastAsia="Times New Roman" w:hAnsi="Times New Roman"/>
          <w:sz w:val="18"/>
          <w:szCs w:val="18"/>
          <w:color w:val="auto"/>
        </w:rPr>
      </w:pPr>
    </w:p>
    <w:p>
      <w:pPr>
        <w:jc w:val="both"/>
        <w:ind w:left="520" w:hanging="512"/>
        <w:spacing w:after="0" w:line="258" w:lineRule="auto"/>
        <w:tabs>
          <w:tab w:leader="none" w:pos="52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MicroStrategy’s share-based compensation arrangements and convertible notes are excluded from the GAAP diluted loss per share calculation as they would be antidilutive, and therefore are also excluded from the non-GAAP diluted earnings or loss per share calculation.</w:t>
      </w:r>
    </w:p>
    <w:p>
      <w:pPr>
        <w:spacing w:after="0" w:line="156" w:lineRule="exact"/>
        <w:rPr>
          <w:rFonts w:ascii="Times New Roman" w:cs="Times New Roman" w:eastAsia="Times New Roman" w:hAnsi="Times New Roman"/>
          <w:sz w:val="18"/>
          <w:szCs w:val="18"/>
          <w:color w:val="auto"/>
        </w:rPr>
      </w:pPr>
    </w:p>
    <w:p>
      <w:pPr>
        <w:jc w:val="both"/>
        <w:ind w:left="520" w:hanging="512"/>
        <w:spacing w:after="0" w:line="261" w:lineRule="auto"/>
        <w:tabs>
          <w:tab w:leader="none" w:pos="52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the nine months ended September 30, 2023, interest expense from the amortization of issuance costs of the convertible notes has been added back to the numerator in the GAAP diluted earnings per share calculation,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nine months ended September 30, 2023.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747395</wp:posOffset>
            </wp:positionV>
            <wp:extent cx="7157720" cy="4254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4" w:name="page15"/>
    <w:bookmarkEnd w:id="14"/>
    <w:p>
      <w:pPr>
        <w:jc w:val="center"/>
        <w:ind w:right="6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b w:val="1"/>
          <w:bCs w:val="1"/>
          <w:color w:val="auto"/>
        </w:rPr>
        <w:t>RECONCILIATION OF GAAP TO NON-GAAP MEASURES</w:t>
      </w:r>
    </w:p>
    <w:p>
      <w:pPr>
        <w:spacing w:after="0" w:line="9"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b w:val="1"/>
          <w:bCs w:val="1"/>
          <w:color w:val="auto"/>
        </w:rPr>
        <w:t>CONSTANT CURRENCY</w:t>
      </w:r>
    </w:p>
    <w:p>
      <w:pPr>
        <w:spacing w:after="0" w:line="9"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33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2240" w:type="dxa"/>
            <w:vAlign w:val="bottom"/>
            <w:gridSpan w:val="4"/>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22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1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75"/>
        </w:trPr>
        <w:tc>
          <w:tcPr>
            <w:tcW w:w="33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500" w:type="dxa"/>
            <w:vAlign w:val="bottom"/>
            <w:gridSpan w:val="3"/>
          </w:tcPr>
          <w:p>
            <w:pPr>
              <w:jc w:val="center"/>
              <w:ind w:left="50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7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1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900" w:type="dxa"/>
            <w:vAlign w:val="bottom"/>
            <w:tcBorders>
              <w:bottom w:val="single" w:sz="8" w:color="auto"/>
            </w:tcBorders>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500" w:type="dxa"/>
            <w:vAlign w:val="bottom"/>
            <w:tcBorders>
              <w:bottom w:val="single" w:sz="8" w:color="auto"/>
            </w:tcBorders>
            <w:gridSpan w:val="3"/>
          </w:tcPr>
          <w:p>
            <w:pPr>
              <w:jc w:val="center"/>
              <w:ind w:left="500"/>
              <w:spacing w:after="0"/>
              <w:rPr>
                <w:sz w:val="20"/>
                <w:szCs w:val="20"/>
                <w:color w:val="auto"/>
              </w:rPr>
            </w:pPr>
            <w:r>
              <w:rPr>
                <w:rFonts w:ascii="Times New Roman" w:cs="Times New Roman" w:eastAsia="Times New Roman" w:hAnsi="Times New Roman"/>
                <w:sz w:val="14"/>
                <w:szCs w:val="14"/>
                <w:b w:val="1"/>
                <w:bCs w:val="1"/>
                <w:color w:val="auto"/>
              </w:rPr>
              <w:t>(unaudited)</w:t>
            </w:r>
          </w:p>
        </w:tc>
        <w:tc>
          <w:tcPr>
            <w:tcW w:w="7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10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31"/>
        </w:trPr>
        <w:tc>
          <w:tcPr>
            <w:tcW w:w="336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60" w:type="dxa"/>
            <w:vAlign w:val="bottom"/>
            <w:gridSpan w:val="2"/>
          </w:tcPr>
          <w:p>
            <w:pPr>
              <w:jc w:val="center"/>
              <w:ind w:right="400"/>
              <w:spacing w:after="0" w:line="131" w:lineRule="exact"/>
              <w:rPr>
                <w:sz w:val="20"/>
                <w:szCs w:val="20"/>
                <w:color w:val="auto"/>
              </w:rPr>
            </w:pPr>
            <w:r>
              <w:rPr>
                <w:rFonts w:ascii="Times New Roman" w:cs="Times New Roman" w:eastAsia="Times New Roman" w:hAnsi="Times New Roman"/>
                <w:sz w:val="14"/>
                <w:szCs w:val="14"/>
                <w:b w:val="1"/>
                <w:bCs w:val="1"/>
                <w:color w:val="auto"/>
              </w:rPr>
              <w:t>Foreign</w:t>
            </w:r>
          </w:p>
        </w:tc>
        <w:tc>
          <w:tcPr>
            <w:tcW w:w="140" w:type="dxa"/>
            <w:vAlign w:val="bottom"/>
          </w:tcPr>
          <w:p>
            <w:pPr>
              <w:spacing w:after="0"/>
              <w:rPr>
                <w:sz w:val="11"/>
                <w:szCs w:val="11"/>
                <w:color w:val="auto"/>
              </w:rPr>
            </w:pPr>
          </w:p>
        </w:tc>
        <w:tc>
          <w:tcPr>
            <w:tcW w:w="960" w:type="dxa"/>
            <w:vAlign w:val="bottom"/>
            <w:vMerge w:val="restart"/>
          </w:tcPr>
          <w:p>
            <w:pPr>
              <w:jc w:val="center"/>
              <w:ind w:right="80"/>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4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160" w:type="dxa"/>
            <w:vAlign w:val="bottom"/>
          </w:tcPr>
          <w:p>
            <w:pPr>
              <w:jc w:val="center"/>
              <w:spacing w:after="0" w:line="131" w:lineRule="exact"/>
              <w:rPr>
                <w:sz w:val="20"/>
                <w:szCs w:val="20"/>
                <w:color w:val="auto"/>
              </w:rPr>
            </w:pPr>
            <w:r>
              <w:rPr>
                <w:rFonts w:ascii="Times New Roman" w:cs="Times New Roman" w:eastAsia="Times New Roman" w:hAnsi="Times New Roman"/>
                <w:sz w:val="14"/>
                <w:szCs w:val="14"/>
                <w:b w:val="1"/>
                <w:bCs w:val="1"/>
                <w:color w:val="auto"/>
              </w:rPr>
              <w:t>Non-GAAP</w:t>
            </w:r>
          </w:p>
        </w:tc>
        <w:tc>
          <w:tcPr>
            <w:tcW w:w="160" w:type="dxa"/>
            <w:vAlign w:val="bottom"/>
            <w:gridSpan w:val="2"/>
          </w:tcPr>
          <w:p>
            <w:pPr>
              <w:spacing w:after="0"/>
              <w:rPr>
                <w:sz w:val="11"/>
                <w:szCs w:val="11"/>
                <w:color w:val="auto"/>
              </w:rPr>
            </w:pPr>
          </w:p>
        </w:tc>
        <w:tc>
          <w:tcPr>
            <w:tcW w:w="0" w:type="dxa"/>
            <w:vAlign w:val="bottom"/>
          </w:tcPr>
          <w:p>
            <w:pPr>
              <w:spacing w:after="0"/>
              <w:rPr>
                <w:sz w:val="1"/>
                <w:szCs w:val="1"/>
                <w:color w:val="auto"/>
              </w:rPr>
            </w:pPr>
          </w:p>
        </w:tc>
      </w:tr>
      <w:tr>
        <w:trPr>
          <w:trHeight w:val="148"/>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60" w:type="dxa"/>
            <w:vAlign w:val="bottom"/>
            <w:gridSpan w:val="2"/>
          </w:tcPr>
          <w:p>
            <w:pPr>
              <w:jc w:val="center"/>
              <w:ind w:right="3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40" w:type="dxa"/>
            <w:vAlign w:val="bottom"/>
          </w:tcPr>
          <w:p>
            <w:pPr>
              <w:spacing w:after="0"/>
              <w:rPr>
                <w:sz w:val="12"/>
                <w:szCs w:val="12"/>
                <w:color w:val="auto"/>
              </w:rPr>
            </w:pPr>
          </w:p>
        </w:tc>
        <w:tc>
          <w:tcPr>
            <w:tcW w:w="96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320" w:type="dxa"/>
            <w:vAlign w:val="bottom"/>
            <w:gridSpan w:val="2"/>
            <w:vMerge w:val="restart"/>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320" w:type="dxa"/>
            <w:vAlign w:val="bottom"/>
            <w:gridSpan w:val="3"/>
          </w:tcPr>
          <w:p>
            <w:pPr>
              <w:jc w:val="center"/>
              <w:ind w:right="20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9"/>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vMerge w:val="restart"/>
          </w:tcPr>
          <w:p>
            <w:pPr>
              <w:jc w:val="center"/>
              <w:ind w:right="13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60" w:type="dxa"/>
            <w:vAlign w:val="bottom"/>
          </w:tcPr>
          <w:p>
            <w:pPr>
              <w:spacing w:after="0"/>
              <w:rPr>
                <w:sz w:val="12"/>
                <w:szCs w:val="12"/>
                <w:color w:val="auto"/>
              </w:rPr>
            </w:pPr>
          </w:p>
        </w:tc>
        <w:tc>
          <w:tcPr>
            <w:tcW w:w="1320" w:type="dxa"/>
            <w:vAlign w:val="bottom"/>
            <w:gridSpan w:val="3"/>
          </w:tcPr>
          <w:p>
            <w:pPr>
              <w:jc w:val="center"/>
              <w:ind w:right="240"/>
              <w:spacing w:after="0" w:line="149" w:lineRule="exact"/>
              <w:rPr>
                <w:sz w:val="20"/>
                <w:szCs w:val="20"/>
                <w:color w:val="auto"/>
              </w:rPr>
            </w:pPr>
            <w:r>
              <w:rPr>
                <w:rFonts w:ascii="Times New Roman" w:cs="Times New Roman" w:eastAsia="Times New Roman" w:hAnsi="Times New Roman"/>
                <w:sz w:val="14"/>
                <w:szCs w:val="14"/>
                <w:b w:val="1"/>
                <w:bCs w:val="1"/>
                <w:color w:val="auto"/>
              </w:rPr>
              <w:t>Exchange Rate</w:t>
            </w:r>
          </w:p>
        </w:tc>
        <w:tc>
          <w:tcPr>
            <w:tcW w:w="140" w:type="dxa"/>
            <w:vAlign w:val="bottom"/>
          </w:tcPr>
          <w:p>
            <w:pPr>
              <w:spacing w:after="0"/>
              <w:rPr>
                <w:sz w:val="12"/>
                <w:szCs w:val="12"/>
                <w:color w:val="auto"/>
              </w:rPr>
            </w:pPr>
          </w:p>
        </w:tc>
        <w:tc>
          <w:tcPr>
            <w:tcW w:w="960" w:type="dxa"/>
            <w:vAlign w:val="bottom"/>
          </w:tcPr>
          <w:p>
            <w:pPr>
              <w:jc w:val="center"/>
              <w:ind w:right="8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4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740" w:type="dxa"/>
            <w:vAlign w:val="bottom"/>
            <w:vMerge w:val="restart"/>
          </w:tcPr>
          <w:p>
            <w:pPr>
              <w:jc w:val="center"/>
              <w:ind w:right="21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20" w:type="dxa"/>
            <w:vAlign w:val="bottom"/>
          </w:tcPr>
          <w:p>
            <w:pPr>
              <w:spacing w:after="0"/>
              <w:rPr>
                <w:sz w:val="12"/>
                <w:szCs w:val="12"/>
                <w:color w:val="auto"/>
              </w:rPr>
            </w:pPr>
          </w:p>
        </w:tc>
        <w:tc>
          <w:tcPr>
            <w:tcW w:w="1320" w:type="dxa"/>
            <w:vAlign w:val="bottom"/>
            <w:gridSpan w:val="2"/>
            <w:vMerge w:val="continue"/>
          </w:tcPr>
          <w:p>
            <w:pPr>
              <w:spacing w:after="0"/>
              <w:rPr>
                <w:sz w:val="12"/>
                <w:szCs w:val="12"/>
                <w:color w:val="auto"/>
              </w:rPr>
            </w:pPr>
          </w:p>
        </w:tc>
        <w:tc>
          <w:tcPr>
            <w:tcW w:w="132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Currency %</w:t>
            </w: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Pr>
          <w:p>
            <w:pPr>
              <w:spacing w:after="0"/>
              <w:rPr>
                <w:sz w:val="16"/>
                <w:szCs w:val="16"/>
                <w:color w:val="auto"/>
              </w:rPr>
            </w:pPr>
          </w:p>
        </w:tc>
        <w:tc>
          <w:tcPr>
            <w:tcW w:w="900" w:type="dxa"/>
            <w:vAlign w:val="bottom"/>
            <w:vMerge w:val="continue"/>
          </w:tcPr>
          <w:p>
            <w:pPr>
              <w:spacing w:after="0"/>
              <w:rPr>
                <w:sz w:val="16"/>
                <w:szCs w:val="16"/>
                <w:color w:val="auto"/>
              </w:rPr>
            </w:pPr>
          </w:p>
        </w:tc>
        <w:tc>
          <w:tcPr>
            <w:tcW w:w="2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160" w:type="dxa"/>
            <w:vAlign w:val="bottom"/>
            <w:gridSpan w:val="2"/>
          </w:tcPr>
          <w:p>
            <w:pPr>
              <w:jc w:val="center"/>
              <w:ind w:right="400"/>
              <w:spacing w:after="0"/>
              <w:rPr>
                <w:sz w:val="20"/>
                <w:szCs w:val="20"/>
                <w:color w:val="auto"/>
              </w:rPr>
            </w:pPr>
            <w:r>
              <w:rPr>
                <w:rFonts w:ascii="Times New Roman" w:cs="Times New Roman" w:eastAsia="Times New Roman" w:hAnsi="Times New Roman"/>
                <w:sz w:val="14"/>
                <w:szCs w:val="14"/>
                <w:b w:val="1"/>
                <w:bCs w:val="1"/>
                <w:color w:val="auto"/>
              </w:rPr>
              <w:t>Impact (1)</w:t>
            </w:r>
          </w:p>
        </w:tc>
        <w:tc>
          <w:tcPr>
            <w:tcW w:w="140" w:type="dxa"/>
            <w:vAlign w:val="bottom"/>
          </w:tcPr>
          <w:p>
            <w:pPr>
              <w:spacing w:after="0"/>
              <w:rPr>
                <w:sz w:val="16"/>
                <w:szCs w:val="16"/>
                <w:color w:val="auto"/>
              </w:rPr>
            </w:pPr>
          </w:p>
        </w:tc>
        <w:tc>
          <w:tcPr>
            <w:tcW w:w="960" w:type="dxa"/>
            <w:vAlign w:val="bottom"/>
          </w:tcPr>
          <w:p>
            <w:pPr>
              <w:jc w:val="center"/>
              <w:ind w:right="40"/>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4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740" w:type="dxa"/>
            <w:vAlign w:val="bottom"/>
            <w:vMerge w:val="continue"/>
          </w:tcPr>
          <w:p>
            <w:pPr>
              <w:spacing w:after="0"/>
              <w:rPr>
                <w:sz w:val="16"/>
                <w:szCs w:val="16"/>
                <w:color w:val="auto"/>
              </w:rPr>
            </w:pPr>
          </w:p>
        </w:tc>
        <w:tc>
          <w:tcPr>
            <w:tcW w:w="220" w:type="dxa"/>
            <w:vAlign w:val="bottom"/>
          </w:tcPr>
          <w:p>
            <w:pPr>
              <w:spacing w:after="0"/>
              <w:rPr>
                <w:sz w:val="16"/>
                <w:szCs w:val="16"/>
                <w:color w:val="auto"/>
              </w:rPr>
            </w:pPr>
          </w:p>
        </w:tc>
        <w:tc>
          <w:tcPr>
            <w:tcW w:w="132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320" w:type="dxa"/>
            <w:vAlign w:val="bottom"/>
            <w:gridSpan w:val="3"/>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 (3)</w:t>
            </w:r>
          </w:p>
        </w:tc>
        <w:tc>
          <w:tcPr>
            <w:tcW w:w="0" w:type="dxa"/>
            <w:vAlign w:val="bottom"/>
          </w:tcPr>
          <w:p>
            <w:pPr>
              <w:spacing w:after="0"/>
              <w:rPr>
                <w:sz w:val="1"/>
                <w:szCs w:val="1"/>
                <w:color w:val="auto"/>
              </w:rPr>
            </w:pPr>
          </w:p>
        </w:tc>
      </w:tr>
      <w:tr>
        <w:trPr>
          <w:trHeight w:val="169"/>
        </w:trPr>
        <w:tc>
          <w:tcPr>
            <w:tcW w:w="3360" w:type="dxa"/>
            <w:vAlign w:val="bottom"/>
          </w:tcPr>
          <w:p>
            <w:pPr>
              <w:spacing w:after="0"/>
              <w:rPr>
                <w:sz w:val="14"/>
                <w:szCs w:val="14"/>
                <w:color w:val="auto"/>
              </w:rPr>
            </w:pPr>
          </w:p>
        </w:tc>
        <w:tc>
          <w:tcPr>
            <w:tcW w:w="220" w:type="dxa"/>
            <w:vAlign w:val="bottom"/>
            <w:tcBorders>
              <w:top w:val="single" w:sz="8" w:color="auto"/>
              <w:bottom w:val="single" w:sz="8" w:color="auto"/>
            </w:tcBorders>
          </w:tcPr>
          <w:p>
            <w:pPr>
              <w:spacing w:after="0"/>
              <w:rPr>
                <w:sz w:val="14"/>
                <w:szCs w:val="14"/>
                <w:color w:val="auto"/>
              </w:rPr>
            </w:pPr>
          </w:p>
        </w:tc>
        <w:tc>
          <w:tcPr>
            <w:tcW w:w="900" w:type="dxa"/>
            <w:vAlign w:val="bottom"/>
            <w:tcBorders>
              <w:top w:val="single" w:sz="8" w:color="auto"/>
              <w:bottom w:val="single" w:sz="8" w:color="auto"/>
            </w:tcBorders>
          </w:tcPr>
          <w:p>
            <w:pPr>
              <w:jc w:val="center"/>
              <w:ind w:right="135"/>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60" w:type="dxa"/>
            <w:vAlign w:val="bottom"/>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40" w:type="dxa"/>
            <w:vAlign w:val="bottom"/>
            <w:tcBorders>
              <w:top w:val="single" w:sz="8" w:color="auto"/>
              <w:bottom w:val="single" w:sz="8" w:color="auto"/>
            </w:tcBorders>
          </w:tcPr>
          <w:p>
            <w:pPr>
              <w:jc w:val="center"/>
              <w:ind w:right="77"/>
              <w:spacing w:after="0"/>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4"/>
                <w:szCs w:val="14"/>
                <w:color w:val="auto"/>
              </w:rPr>
            </w:pPr>
          </w:p>
        </w:tc>
        <w:tc>
          <w:tcPr>
            <w:tcW w:w="14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center"/>
              <w:ind w:right="40"/>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40" w:type="dxa"/>
            <w:vAlign w:val="bottom"/>
          </w:tcPr>
          <w:p>
            <w:pPr>
              <w:spacing w:after="0"/>
              <w:rPr>
                <w:sz w:val="14"/>
                <w:szCs w:val="14"/>
                <w:color w:val="auto"/>
              </w:rPr>
            </w:pPr>
          </w:p>
        </w:tc>
        <w:tc>
          <w:tcPr>
            <w:tcW w:w="300" w:type="dxa"/>
            <w:vAlign w:val="bottom"/>
            <w:tcBorders>
              <w:top w:val="single" w:sz="8" w:color="auto"/>
              <w:bottom w:val="single" w:sz="8" w:color="auto"/>
            </w:tcBorders>
          </w:tcPr>
          <w:p>
            <w:pPr>
              <w:spacing w:after="0"/>
              <w:rPr>
                <w:sz w:val="14"/>
                <w:szCs w:val="14"/>
                <w:color w:val="auto"/>
              </w:rPr>
            </w:pPr>
          </w:p>
        </w:tc>
        <w:tc>
          <w:tcPr>
            <w:tcW w:w="740" w:type="dxa"/>
            <w:vAlign w:val="bottom"/>
            <w:tcBorders>
              <w:top w:val="single" w:sz="8" w:color="auto"/>
              <w:bottom w:val="single" w:sz="8" w:color="auto"/>
            </w:tcBorders>
          </w:tcPr>
          <w:p>
            <w:pPr>
              <w:jc w:val="center"/>
              <w:ind w:right="215"/>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220" w:type="dxa"/>
            <w:vAlign w:val="bottom"/>
          </w:tcPr>
          <w:p>
            <w:pPr>
              <w:spacing w:after="0"/>
              <w:rPr>
                <w:sz w:val="14"/>
                <w:szCs w:val="14"/>
                <w:color w:val="auto"/>
              </w:rPr>
            </w:pPr>
          </w:p>
        </w:tc>
        <w:tc>
          <w:tcPr>
            <w:tcW w:w="110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20" w:type="dxa"/>
            <w:vAlign w:val="bottom"/>
          </w:tcPr>
          <w:p>
            <w:pPr>
              <w:spacing w:after="0"/>
              <w:rPr>
                <w:sz w:val="14"/>
                <w:szCs w:val="14"/>
                <w:color w:val="auto"/>
              </w:rPr>
            </w:pPr>
          </w:p>
        </w:tc>
        <w:tc>
          <w:tcPr>
            <w:tcW w:w="11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10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37"/>
        </w:trPr>
        <w:tc>
          <w:tcPr>
            <w:tcW w:w="33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220" w:type="dxa"/>
            <w:vAlign w:val="bottom"/>
            <w:shd w:val="clear" w:color="auto" w:fill="CFF0FC"/>
          </w:tcPr>
          <w:p>
            <w:pPr>
              <w:spacing w:after="0"/>
              <w:rPr>
                <w:sz w:val="20"/>
                <w:szCs w:val="20"/>
                <w:color w:val="auto"/>
              </w:rPr>
            </w:pPr>
          </w:p>
        </w:tc>
        <w:tc>
          <w:tcPr>
            <w:tcW w:w="900" w:type="dxa"/>
            <w:vAlign w:val="bottom"/>
            <w:shd w:val="clear" w:color="auto" w:fill="CFF0FC"/>
          </w:tcPr>
          <w:p>
            <w:pPr>
              <w:spacing w:after="0"/>
              <w:rPr>
                <w:sz w:val="20"/>
                <w:szCs w:val="20"/>
                <w:color w:val="auto"/>
              </w:rPr>
            </w:pPr>
          </w:p>
        </w:tc>
        <w:tc>
          <w:tcPr>
            <w:tcW w:w="26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94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96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300" w:type="dxa"/>
            <w:vAlign w:val="bottom"/>
            <w:shd w:val="clear" w:color="auto" w:fill="CFF0FC"/>
          </w:tcPr>
          <w:p>
            <w:pPr>
              <w:spacing w:after="0"/>
              <w:rPr>
                <w:sz w:val="20"/>
                <w:szCs w:val="20"/>
                <w:color w:val="auto"/>
              </w:rPr>
            </w:pPr>
          </w:p>
        </w:tc>
        <w:tc>
          <w:tcPr>
            <w:tcW w:w="74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10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16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34"/>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11,087</w:t>
            </w:r>
          </w:p>
        </w:tc>
        <w:tc>
          <w:tcPr>
            <w:tcW w:w="4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(163 )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11,250</w:t>
            </w:r>
          </w:p>
        </w:tc>
        <w:tc>
          <w:tcPr>
            <w:tcW w:w="54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24,045</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-53.9 %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-53.2 %</w:t>
            </w:r>
          </w:p>
        </w:tc>
        <w:tc>
          <w:tcPr>
            <w:tcW w:w="0" w:type="dxa"/>
            <w:vAlign w:val="bottom"/>
          </w:tcPr>
          <w:p>
            <w:pPr>
              <w:spacing w:after="0"/>
              <w:rPr>
                <w:sz w:val="1"/>
                <w:szCs w:val="1"/>
                <w:color w:val="auto"/>
              </w:rPr>
            </w:pPr>
          </w:p>
        </w:tc>
      </w:tr>
      <w:tr>
        <w:trPr>
          <w:trHeight w:val="238"/>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22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27,800</w:t>
            </w: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109</w:t>
            </w:r>
          </w:p>
        </w:tc>
        <w:tc>
          <w:tcPr>
            <w:tcW w:w="2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27,691</w:t>
            </w:r>
          </w:p>
        </w:tc>
        <w:tc>
          <w:tcPr>
            <w:tcW w:w="2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20,974</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32.5 %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32.0 %</w:t>
            </w:r>
          </w:p>
        </w:tc>
        <w:tc>
          <w:tcPr>
            <w:tcW w:w="0" w:type="dxa"/>
            <w:vAlign w:val="bottom"/>
          </w:tcPr>
          <w:p>
            <w:pPr>
              <w:spacing w:after="0"/>
              <w:rPr>
                <w:sz w:val="1"/>
                <w:szCs w:val="1"/>
                <w:color w:val="auto"/>
              </w:rPr>
            </w:pPr>
          </w:p>
        </w:tc>
      </w:tr>
      <w:tr>
        <w:trPr>
          <w:trHeight w:val="225"/>
        </w:trPr>
        <w:tc>
          <w:tcPr>
            <w:tcW w:w="33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Total product licenses and subscription</w:t>
            </w:r>
          </w:p>
        </w:tc>
        <w:tc>
          <w:tcPr>
            <w:tcW w:w="220" w:type="dxa"/>
            <w:vAlign w:val="bottom"/>
          </w:tcPr>
          <w:p>
            <w:pPr>
              <w:spacing w:after="0"/>
              <w:rPr>
                <w:sz w:val="19"/>
                <w:szCs w:val="19"/>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38,887</w:t>
            </w:r>
          </w:p>
        </w:tc>
        <w:tc>
          <w:tcPr>
            <w:tcW w:w="260" w:type="dxa"/>
            <w:vAlign w:val="bottom"/>
          </w:tcPr>
          <w:p>
            <w:pPr>
              <w:spacing w:after="0"/>
              <w:rPr>
                <w:sz w:val="19"/>
                <w:szCs w:val="19"/>
                <w:color w:val="auto"/>
              </w:rPr>
            </w:pPr>
          </w:p>
        </w:tc>
        <w:tc>
          <w:tcPr>
            <w:tcW w:w="160" w:type="dxa"/>
            <w:vAlign w:val="bottom"/>
          </w:tcPr>
          <w:p>
            <w:pPr>
              <w:spacing w:after="0"/>
              <w:rPr>
                <w:sz w:val="19"/>
                <w:szCs w:val="19"/>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(54 )</w:t>
            </w:r>
          </w:p>
        </w:tc>
        <w:tc>
          <w:tcPr>
            <w:tcW w:w="140" w:type="dxa"/>
            <w:vAlign w:val="bottom"/>
          </w:tcPr>
          <w:p>
            <w:pPr>
              <w:spacing w:after="0"/>
              <w:rPr>
                <w:sz w:val="19"/>
                <w:szCs w:val="19"/>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38,941</w:t>
            </w:r>
          </w:p>
        </w:tc>
        <w:tc>
          <w:tcPr>
            <w:tcW w:w="240" w:type="dxa"/>
            <w:vAlign w:val="bottom"/>
          </w:tcPr>
          <w:p>
            <w:pPr>
              <w:spacing w:after="0"/>
              <w:rPr>
                <w:sz w:val="19"/>
                <w:szCs w:val="19"/>
                <w:color w:val="auto"/>
              </w:rPr>
            </w:pPr>
          </w:p>
        </w:tc>
        <w:tc>
          <w:tcPr>
            <w:tcW w:w="300" w:type="dxa"/>
            <w:vAlign w:val="bottom"/>
          </w:tcPr>
          <w:p>
            <w:pPr>
              <w:spacing w:after="0"/>
              <w:rPr>
                <w:sz w:val="19"/>
                <w:szCs w:val="19"/>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45,019</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-13.6 %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-13.5 %</w:t>
            </w:r>
          </w:p>
        </w:tc>
        <w:tc>
          <w:tcPr>
            <w:tcW w:w="0" w:type="dxa"/>
            <w:vAlign w:val="bottom"/>
          </w:tcPr>
          <w:p>
            <w:pPr>
              <w:spacing w:after="0"/>
              <w:rPr>
                <w:sz w:val="1"/>
                <w:szCs w:val="1"/>
                <w:color w:val="auto"/>
              </w:rPr>
            </w:pPr>
          </w:p>
        </w:tc>
      </w:tr>
      <w:tr>
        <w:trPr>
          <w:trHeight w:val="234"/>
        </w:trPr>
        <w:tc>
          <w:tcPr>
            <w:tcW w:w="33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services</w:t>
            </w:r>
          </w:p>
        </w:tc>
        <w:tc>
          <w:tcPr>
            <w:tcW w:w="220" w:type="dxa"/>
            <w:vAlign w:val="bottom"/>
          </w:tcPr>
          <w:p>
            <w:pPr>
              <w:spacing w:after="0"/>
              <w:rPr>
                <w:sz w:val="20"/>
                <w:szCs w:val="20"/>
                <w:color w:val="auto"/>
              </w:rPr>
            </w:pPr>
          </w:p>
        </w:tc>
        <w:tc>
          <w:tcPr>
            <w:tcW w:w="90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4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4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16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61,015</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147</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60,868</w:t>
            </w:r>
          </w:p>
        </w:tc>
        <w:tc>
          <w:tcPr>
            <w:tcW w:w="240" w:type="dxa"/>
            <w:vAlign w:val="bottom"/>
          </w:tcPr>
          <w:p>
            <w:pPr>
              <w:spacing w:after="0"/>
              <w:rPr>
                <w:sz w:val="21"/>
                <w:szCs w:val="21"/>
                <w:color w:val="auto"/>
              </w:rPr>
            </w:pPr>
          </w:p>
        </w:tc>
        <w:tc>
          <w:tcPr>
            <w:tcW w:w="300" w:type="dxa"/>
            <w:vAlign w:val="bottom"/>
          </w:tcPr>
          <w:p>
            <w:pPr>
              <w:spacing w:after="0"/>
              <w:rPr>
                <w:sz w:val="21"/>
                <w:szCs w:val="21"/>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66,860</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-8.7 %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-9.0 %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16,169</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76</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16,093</w:t>
            </w:r>
          </w:p>
        </w:tc>
        <w:tc>
          <w:tcPr>
            <w:tcW w:w="240" w:type="dxa"/>
            <w:vAlign w:val="bottom"/>
          </w:tcPr>
          <w:p>
            <w:pPr>
              <w:spacing w:after="0"/>
              <w:rPr>
                <w:sz w:val="21"/>
                <w:szCs w:val="21"/>
                <w:color w:val="auto"/>
              </w:rPr>
            </w:pPr>
          </w:p>
        </w:tc>
        <w:tc>
          <w:tcPr>
            <w:tcW w:w="300" w:type="dxa"/>
            <w:vAlign w:val="bottom"/>
          </w:tcPr>
          <w:p>
            <w:pPr>
              <w:spacing w:after="0"/>
              <w:rPr>
                <w:sz w:val="21"/>
                <w:szCs w:val="21"/>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17,583</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-8.0 %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-8.5 %</w:t>
            </w:r>
          </w:p>
        </w:tc>
        <w:tc>
          <w:tcPr>
            <w:tcW w:w="0" w:type="dxa"/>
            <w:vAlign w:val="bottom"/>
          </w:tcPr>
          <w:p>
            <w:pPr>
              <w:spacing w:after="0"/>
              <w:rPr>
                <w:sz w:val="1"/>
                <w:szCs w:val="1"/>
                <w:color w:val="auto"/>
              </w:rPr>
            </w:pPr>
          </w:p>
        </w:tc>
      </w:tr>
      <w:tr>
        <w:trPr>
          <w:trHeight w:val="243"/>
        </w:trPr>
        <w:tc>
          <w:tcPr>
            <w:tcW w:w="3360" w:type="dxa"/>
            <w:vAlign w:val="bottom"/>
          </w:tcPr>
          <w:p>
            <w:pPr>
              <w:ind w:left="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116,071</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169</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115,902</w:t>
            </w:r>
          </w:p>
        </w:tc>
        <w:tc>
          <w:tcPr>
            <w:tcW w:w="240" w:type="dxa"/>
            <w:vAlign w:val="bottom"/>
          </w:tcPr>
          <w:p>
            <w:pPr>
              <w:spacing w:after="0"/>
              <w:rPr>
                <w:sz w:val="21"/>
                <w:szCs w:val="21"/>
                <w:color w:val="auto"/>
              </w:rPr>
            </w:pPr>
          </w:p>
        </w:tc>
        <w:tc>
          <w:tcPr>
            <w:tcW w:w="300" w:type="dxa"/>
            <w:vAlign w:val="bottom"/>
          </w:tcPr>
          <w:p>
            <w:pPr>
              <w:spacing w:after="0"/>
              <w:rPr>
                <w:sz w:val="21"/>
                <w:szCs w:val="21"/>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129,462</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-10.3 %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-10.5 %</w:t>
            </w:r>
          </w:p>
        </w:tc>
        <w:tc>
          <w:tcPr>
            <w:tcW w:w="0" w:type="dxa"/>
            <w:vAlign w:val="bottom"/>
          </w:tcPr>
          <w:p>
            <w:pPr>
              <w:spacing w:after="0"/>
              <w:rPr>
                <w:sz w:val="1"/>
                <w:szCs w:val="1"/>
                <w:color w:val="auto"/>
              </w:rPr>
            </w:pPr>
          </w:p>
        </w:tc>
      </w:tr>
      <w:tr>
        <w:trPr>
          <w:trHeight w:val="394"/>
        </w:trPr>
        <w:tc>
          <w:tcPr>
            <w:tcW w:w="33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94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240" w:type="dxa"/>
            <w:vAlign w:val="bottom"/>
            <w:gridSpan w:val="4"/>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rPr>
              <w:t>Nine Months Ended</w:t>
            </w:r>
          </w:p>
        </w:tc>
        <w:tc>
          <w:tcPr>
            <w:tcW w:w="220" w:type="dxa"/>
            <w:vAlign w:val="bottom"/>
          </w:tcPr>
          <w:p>
            <w:pPr>
              <w:spacing w:after="0"/>
              <w:rPr>
                <w:sz w:val="24"/>
                <w:szCs w:val="24"/>
                <w:color w:val="auto"/>
              </w:rPr>
            </w:pPr>
          </w:p>
        </w:tc>
        <w:tc>
          <w:tcPr>
            <w:tcW w:w="110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1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76"/>
        </w:trPr>
        <w:tc>
          <w:tcPr>
            <w:tcW w:w="33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500" w:type="dxa"/>
            <w:vAlign w:val="bottom"/>
            <w:gridSpan w:val="3"/>
          </w:tcPr>
          <w:p>
            <w:pPr>
              <w:jc w:val="center"/>
              <w:ind w:left="50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7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1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900" w:type="dxa"/>
            <w:vAlign w:val="bottom"/>
            <w:tcBorders>
              <w:bottom w:val="single" w:sz="8" w:color="auto"/>
            </w:tcBorders>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500" w:type="dxa"/>
            <w:vAlign w:val="bottom"/>
            <w:tcBorders>
              <w:bottom w:val="single" w:sz="8" w:color="auto"/>
            </w:tcBorders>
            <w:gridSpan w:val="3"/>
          </w:tcPr>
          <w:p>
            <w:pPr>
              <w:jc w:val="center"/>
              <w:ind w:left="500"/>
              <w:spacing w:after="0"/>
              <w:rPr>
                <w:sz w:val="20"/>
                <w:szCs w:val="20"/>
                <w:color w:val="auto"/>
              </w:rPr>
            </w:pPr>
            <w:r>
              <w:rPr>
                <w:rFonts w:ascii="Times New Roman" w:cs="Times New Roman" w:eastAsia="Times New Roman" w:hAnsi="Times New Roman"/>
                <w:sz w:val="14"/>
                <w:szCs w:val="14"/>
                <w:b w:val="1"/>
                <w:bCs w:val="1"/>
                <w:color w:val="auto"/>
              </w:rPr>
              <w:t>(unaudited)</w:t>
            </w:r>
          </w:p>
        </w:tc>
        <w:tc>
          <w:tcPr>
            <w:tcW w:w="7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10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31"/>
        </w:trPr>
        <w:tc>
          <w:tcPr>
            <w:tcW w:w="336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60" w:type="dxa"/>
            <w:vAlign w:val="bottom"/>
            <w:gridSpan w:val="2"/>
          </w:tcPr>
          <w:p>
            <w:pPr>
              <w:jc w:val="center"/>
              <w:ind w:right="400"/>
              <w:spacing w:after="0" w:line="131" w:lineRule="exact"/>
              <w:rPr>
                <w:sz w:val="20"/>
                <w:szCs w:val="20"/>
                <w:color w:val="auto"/>
              </w:rPr>
            </w:pPr>
            <w:r>
              <w:rPr>
                <w:rFonts w:ascii="Times New Roman" w:cs="Times New Roman" w:eastAsia="Times New Roman" w:hAnsi="Times New Roman"/>
                <w:sz w:val="14"/>
                <w:szCs w:val="14"/>
                <w:b w:val="1"/>
                <w:bCs w:val="1"/>
                <w:color w:val="auto"/>
              </w:rPr>
              <w:t>Foreign</w:t>
            </w:r>
          </w:p>
        </w:tc>
        <w:tc>
          <w:tcPr>
            <w:tcW w:w="140" w:type="dxa"/>
            <w:vAlign w:val="bottom"/>
          </w:tcPr>
          <w:p>
            <w:pPr>
              <w:spacing w:after="0"/>
              <w:rPr>
                <w:sz w:val="11"/>
                <w:szCs w:val="11"/>
                <w:color w:val="auto"/>
              </w:rPr>
            </w:pPr>
          </w:p>
        </w:tc>
        <w:tc>
          <w:tcPr>
            <w:tcW w:w="960" w:type="dxa"/>
            <w:vAlign w:val="bottom"/>
            <w:vMerge w:val="restart"/>
          </w:tcPr>
          <w:p>
            <w:pPr>
              <w:jc w:val="center"/>
              <w:ind w:right="80"/>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4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160" w:type="dxa"/>
            <w:vAlign w:val="bottom"/>
          </w:tcPr>
          <w:p>
            <w:pPr>
              <w:jc w:val="center"/>
              <w:spacing w:after="0" w:line="131" w:lineRule="exact"/>
              <w:rPr>
                <w:sz w:val="20"/>
                <w:szCs w:val="20"/>
                <w:color w:val="auto"/>
              </w:rPr>
            </w:pPr>
            <w:r>
              <w:rPr>
                <w:rFonts w:ascii="Times New Roman" w:cs="Times New Roman" w:eastAsia="Times New Roman" w:hAnsi="Times New Roman"/>
                <w:sz w:val="14"/>
                <w:szCs w:val="14"/>
                <w:b w:val="1"/>
                <w:bCs w:val="1"/>
                <w:color w:val="auto"/>
              </w:rPr>
              <w:t>Non-GAAP</w:t>
            </w:r>
          </w:p>
        </w:tc>
        <w:tc>
          <w:tcPr>
            <w:tcW w:w="160" w:type="dxa"/>
            <w:vAlign w:val="bottom"/>
            <w:gridSpan w:val="2"/>
          </w:tcPr>
          <w:p>
            <w:pPr>
              <w:spacing w:after="0"/>
              <w:rPr>
                <w:sz w:val="11"/>
                <w:szCs w:val="11"/>
                <w:color w:val="auto"/>
              </w:rPr>
            </w:pPr>
          </w:p>
        </w:tc>
        <w:tc>
          <w:tcPr>
            <w:tcW w:w="0" w:type="dxa"/>
            <w:vAlign w:val="bottom"/>
          </w:tcPr>
          <w:p>
            <w:pPr>
              <w:spacing w:after="0"/>
              <w:rPr>
                <w:sz w:val="1"/>
                <w:szCs w:val="1"/>
                <w:color w:val="auto"/>
              </w:rPr>
            </w:pPr>
          </w:p>
        </w:tc>
      </w:tr>
      <w:tr>
        <w:trPr>
          <w:trHeight w:val="148"/>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60" w:type="dxa"/>
            <w:vAlign w:val="bottom"/>
            <w:gridSpan w:val="2"/>
          </w:tcPr>
          <w:p>
            <w:pPr>
              <w:jc w:val="center"/>
              <w:ind w:right="3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40" w:type="dxa"/>
            <w:vAlign w:val="bottom"/>
          </w:tcPr>
          <w:p>
            <w:pPr>
              <w:spacing w:after="0"/>
              <w:rPr>
                <w:sz w:val="12"/>
                <w:szCs w:val="12"/>
                <w:color w:val="auto"/>
              </w:rPr>
            </w:pPr>
          </w:p>
        </w:tc>
        <w:tc>
          <w:tcPr>
            <w:tcW w:w="96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320" w:type="dxa"/>
            <w:vAlign w:val="bottom"/>
            <w:gridSpan w:val="2"/>
            <w:vMerge w:val="restart"/>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320" w:type="dxa"/>
            <w:vAlign w:val="bottom"/>
            <w:gridSpan w:val="3"/>
          </w:tcPr>
          <w:p>
            <w:pPr>
              <w:jc w:val="center"/>
              <w:ind w:right="20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vMerge w:val="restart"/>
          </w:tcPr>
          <w:p>
            <w:pPr>
              <w:jc w:val="center"/>
              <w:ind w:right="13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60" w:type="dxa"/>
            <w:vAlign w:val="bottom"/>
          </w:tcPr>
          <w:p>
            <w:pPr>
              <w:spacing w:after="0"/>
              <w:rPr>
                <w:sz w:val="12"/>
                <w:szCs w:val="12"/>
                <w:color w:val="auto"/>
              </w:rPr>
            </w:pPr>
          </w:p>
        </w:tc>
        <w:tc>
          <w:tcPr>
            <w:tcW w:w="1320" w:type="dxa"/>
            <w:vAlign w:val="bottom"/>
            <w:gridSpan w:val="3"/>
          </w:tcPr>
          <w:p>
            <w:pPr>
              <w:jc w:val="center"/>
              <w:ind w:right="240"/>
              <w:spacing w:after="0" w:line="149" w:lineRule="exact"/>
              <w:rPr>
                <w:sz w:val="20"/>
                <w:szCs w:val="20"/>
                <w:color w:val="auto"/>
              </w:rPr>
            </w:pPr>
            <w:r>
              <w:rPr>
                <w:rFonts w:ascii="Times New Roman" w:cs="Times New Roman" w:eastAsia="Times New Roman" w:hAnsi="Times New Roman"/>
                <w:sz w:val="14"/>
                <w:szCs w:val="14"/>
                <w:b w:val="1"/>
                <w:bCs w:val="1"/>
                <w:color w:val="auto"/>
              </w:rPr>
              <w:t>Exchange Rate</w:t>
            </w:r>
          </w:p>
        </w:tc>
        <w:tc>
          <w:tcPr>
            <w:tcW w:w="140" w:type="dxa"/>
            <w:vAlign w:val="bottom"/>
          </w:tcPr>
          <w:p>
            <w:pPr>
              <w:spacing w:after="0"/>
              <w:rPr>
                <w:sz w:val="12"/>
                <w:szCs w:val="12"/>
                <w:color w:val="auto"/>
              </w:rPr>
            </w:pPr>
          </w:p>
        </w:tc>
        <w:tc>
          <w:tcPr>
            <w:tcW w:w="960" w:type="dxa"/>
            <w:vAlign w:val="bottom"/>
          </w:tcPr>
          <w:p>
            <w:pPr>
              <w:jc w:val="center"/>
              <w:ind w:right="8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4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740" w:type="dxa"/>
            <w:vAlign w:val="bottom"/>
            <w:vMerge w:val="restart"/>
          </w:tcPr>
          <w:p>
            <w:pPr>
              <w:jc w:val="center"/>
              <w:ind w:right="21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20" w:type="dxa"/>
            <w:vAlign w:val="bottom"/>
          </w:tcPr>
          <w:p>
            <w:pPr>
              <w:spacing w:after="0"/>
              <w:rPr>
                <w:sz w:val="12"/>
                <w:szCs w:val="12"/>
                <w:color w:val="auto"/>
              </w:rPr>
            </w:pPr>
          </w:p>
        </w:tc>
        <w:tc>
          <w:tcPr>
            <w:tcW w:w="1320" w:type="dxa"/>
            <w:vAlign w:val="bottom"/>
            <w:gridSpan w:val="2"/>
            <w:vMerge w:val="continue"/>
          </w:tcPr>
          <w:p>
            <w:pPr>
              <w:spacing w:after="0"/>
              <w:rPr>
                <w:sz w:val="12"/>
                <w:szCs w:val="12"/>
                <w:color w:val="auto"/>
              </w:rPr>
            </w:pPr>
          </w:p>
        </w:tc>
        <w:tc>
          <w:tcPr>
            <w:tcW w:w="132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Currency %</w:t>
            </w: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Pr>
          <w:p>
            <w:pPr>
              <w:spacing w:after="0"/>
              <w:rPr>
                <w:sz w:val="16"/>
                <w:szCs w:val="16"/>
                <w:color w:val="auto"/>
              </w:rPr>
            </w:pPr>
          </w:p>
        </w:tc>
        <w:tc>
          <w:tcPr>
            <w:tcW w:w="900" w:type="dxa"/>
            <w:vAlign w:val="bottom"/>
            <w:vMerge w:val="continue"/>
          </w:tcPr>
          <w:p>
            <w:pPr>
              <w:spacing w:after="0"/>
              <w:rPr>
                <w:sz w:val="16"/>
                <w:szCs w:val="16"/>
                <w:color w:val="auto"/>
              </w:rPr>
            </w:pPr>
          </w:p>
        </w:tc>
        <w:tc>
          <w:tcPr>
            <w:tcW w:w="2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160" w:type="dxa"/>
            <w:vAlign w:val="bottom"/>
            <w:gridSpan w:val="2"/>
          </w:tcPr>
          <w:p>
            <w:pPr>
              <w:jc w:val="center"/>
              <w:ind w:right="400"/>
              <w:spacing w:after="0"/>
              <w:rPr>
                <w:sz w:val="20"/>
                <w:szCs w:val="20"/>
                <w:color w:val="auto"/>
              </w:rPr>
            </w:pPr>
            <w:r>
              <w:rPr>
                <w:rFonts w:ascii="Times New Roman" w:cs="Times New Roman" w:eastAsia="Times New Roman" w:hAnsi="Times New Roman"/>
                <w:sz w:val="14"/>
                <w:szCs w:val="14"/>
                <w:b w:val="1"/>
                <w:bCs w:val="1"/>
                <w:color w:val="auto"/>
              </w:rPr>
              <w:t>Impact (1)</w:t>
            </w:r>
          </w:p>
        </w:tc>
        <w:tc>
          <w:tcPr>
            <w:tcW w:w="140" w:type="dxa"/>
            <w:vAlign w:val="bottom"/>
          </w:tcPr>
          <w:p>
            <w:pPr>
              <w:spacing w:after="0"/>
              <w:rPr>
                <w:sz w:val="16"/>
                <w:szCs w:val="16"/>
                <w:color w:val="auto"/>
              </w:rPr>
            </w:pPr>
          </w:p>
        </w:tc>
        <w:tc>
          <w:tcPr>
            <w:tcW w:w="960" w:type="dxa"/>
            <w:vAlign w:val="bottom"/>
          </w:tcPr>
          <w:p>
            <w:pPr>
              <w:jc w:val="center"/>
              <w:ind w:right="40"/>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4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740" w:type="dxa"/>
            <w:vAlign w:val="bottom"/>
            <w:vMerge w:val="continue"/>
          </w:tcPr>
          <w:p>
            <w:pPr>
              <w:spacing w:after="0"/>
              <w:rPr>
                <w:sz w:val="16"/>
                <w:szCs w:val="16"/>
                <w:color w:val="auto"/>
              </w:rPr>
            </w:pPr>
          </w:p>
        </w:tc>
        <w:tc>
          <w:tcPr>
            <w:tcW w:w="220" w:type="dxa"/>
            <w:vAlign w:val="bottom"/>
          </w:tcPr>
          <w:p>
            <w:pPr>
              <w:spacing w:after="0"/>
              <w:rPr>
                <w:sz w:val="16"/>
                <w:szCs w:val="16"/>
                <w:color w:val="auto"/>
              </w:rPr>
            </w:pPr>
          </w:p>
        </w:tc>
        <w:tc>
          <w:tcPr>
            <w:tcW w:w="132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320" w:type="dxa"/>
            <w:vAlign w:val="bottom"/>
            <w:gridSpan w:val="3"/>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 (3)</w:t>
            </w:r>
          </w:p>
        </w:tc>
        <w:tc>
          <w:tcPr>
            <w:tcW w:w="0" w:type="dxa"/>
            <w:vAlign w:val="bottom"/>
          </w:tcPr>
          <w:p>
            <w:pPr>
              <w:spacing w:after="0"/>
              <w:rPr>
                <w:sz w:val="1"/>
                <w:szCs w:val="1"/>
                <w:color w:val="auto"/>
              </w:rPr>
            </w:pPr>
          </w:p>
        </w:tc>
      </w:tr>
      <w:tr>
        <w:trPr>
          <w:trHeight w:val="169"/>
        </w:trPr>
        <w:tc>
          <w:tcPr>
            <w:tcW w:w="3360" w:type="dxa"/>
            <w:vAlign w:val="bottom"/>
          </w:tcPr>
          <w:p>
            <w:pPr>
              <w:spacing w:after="0"/>
              <w:rPr>
                <w:sz w:val="14"/>
                <w:szCs w:val="14"/>
                <w:color w:val="auto"/>
              </w:rPr>
            </w:pPr>
          </w:p>
        </w:tc>
        <w:tc>
          <w:tcPr>
            <w:tcW w:w="220" w:type="dxa"/>
            <w:vAlign w:val="bottom"/>
            <w:tcBorders>
              <w:top w:val="single" w:sz="8" w:color="auto"/>
              <w:bottom w:val="single" w:sz="8" w:color="auto"/>
            </w:tcBorders>
          </w:tcPr>
          <w:p>
            <w:pPr>
              <w:spacing w:after="0"/>
              <w:rPr>
                <w:sz w:val="14"/>
                <w:szCs w:val="14"/>
                <w:color w:val="auto"/>
              </w:rPr>
            </w:pPr>
          </w:p>
        </w:tc>
        <w:tc>
          <w:tcPr>
            <w:tcW w:w="900" w:type="dxa"/>
            <w:vAlign w:val="bottom"/>
            <w:tcBorders>
              <w:top w:val="single" w:sz="8" w:color="auto"/>
              <w:bottom w:val="single" w:sz="8" w:color="auto"/>
            </w:tcBorders>
          </w:tcPr>
          <w:p>
            <w:pPr>
              <w:jc w:val="center"/>
              <w:ind w:right="135"/>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60" w:type="dxa"/>
            <w:vAlign w:val="bottom"/>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40" w:type="dxa"/>
            <w:vAlign w:val="bottom"/>
            <w:tcBorders>
              <w:top w:val="single" w:sz="8" w:color="auto"/>
              <w:bottom w:val="single" w:sz="8" w:color="auto"/>
            </w:tcBorders>
          </w:tcPr>
          <w:p>
            <w:pPr>
              <w:jc w:val="center"/>
              <w:ind w:right="77"/>
              <w:spacing w:after="0"/>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4"/>
                <w:szCs w:val="14"/>
                <w:color w:val="auto"/>
              </w:rPr>
            </w:pPr>
          </w:p>
        </w:tc>
        <w:tc>
          <w:tcPr>
            <w:tcW w:w="14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center"/>
              <w:ind w:right="40"/>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40" w:type="dxa"/>
            <w:vAlign w:val="bottom"/>
          </w:tcPr>
          <w:p>
            <w:pPr>
              <w:spacing w:after="0"/>
              <w:rPr>
                <w:sz w:val="14"/>
                <w:szCs w:val="14"/>
                <w:color w:val="auto"/>
              </w:rPr>
            </w:pPr>
          </w:p>
        </w:tc>
        <w:tc>
          <w:tcPr>
            <w:tcW w:w="300" w:type="dxa"/>
            <w:vAlign w:val="bottom"/>
            <w:tcBorders>
              <w:top w:val="single" w:sz="8" w:color="auto"/>
              <w:bottom w:val="single" w:sz="8" w:color="auto"/>
            </w:tcBorders>
          </w:tcPr>
          <w:p>
            <w:pPr>
              <w:spacing w:after="0"/>
              <w:rPr>
                <w:sz w:val="14"/>
                <w:szCs w:val="14"/>
                <w:color w:val="auto"/>
              </w:rPr>
            </w:pPr>
          </w:p>
        </w:tc>
        <w:tc>
          <w:tcPr>
            <w:tcW w:w="740" w:type="dxa"/>
            <w:vAlign w:val="bottom"/>
            <w:tcBorders>
              <w:top w:val="single" w:sz="8" w:color="auto"/>
              <w:bottom w:val="single" w:sz="8" w:color="auto"/>
            </w:tcBorders>
          </w:tcPr>
          <w:p>
            <w:pPr>
              <w:jc w:val="center"/>
              <w:ind w:right="215"/>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220" w:type="dxa"/>
            <w:vAlign w:val="bottom"/>
          </w:tcPr>
          <w:p>
            <w:pPr>
              <w:spacing w:after="0"/>
              <w:rPr>
                <w:sz w:val="14"/>
                <w:szCs w:val="14"/>
                <w:color w:val="auto"/>
              </w:rPr>
            </w:pPr>
          </w:p>
        </w:tc>
        <w:tc>
          <w:tcPr>
            <w:tcW w:w="110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20" w:type="dxa"/>
            <w:vAlign w:val="bottom"/>
          </w:tcPr>
          <w:p>
            <w:pPr>
              <w:spacing w:after="0"/>
              <w:rPr>
                <w:sz w:val="14"/>
                <w:szCs w:val="14"/>
                <w:color w:val="auto"/>
              </w:rPr>
            </w:pPr>
          </w:p>
        </w:tc>
        <w:tc>
          <w:tcPr>
            <w:tcW w:w="11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10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36"/>
        </w:trPr>
        <w:tc>
          <w:tcPr>
            <w:tcW w:w="33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220" w:type="dxa"/>
            <w:vAlign w:val="bottom"/>
            <w:shd w:val="clear" w:color="auto" w:fill="CFF0FC"/>
          </w:tcPr>
          <w:p>
            <w:pPr>
              <w:spacing w:after="0"/>
              <w:rPr>
                <w:sz w:val="20"/>
                <w:szCs w:val="20"/>
                <w:color w:val="auto"/>
              </w:rPr>
            </w:pPr>
          </w:p>
        </w:tc>
        <w:tc>
          <w:tcPr>
            <w:tcW w:w="900" w:type="dxa"/>
            <w:vAlign w:val="bottom"/>
            <w:shd w:val="clear" w:color="auto" w:fill="CFF0FC"/>
          </w:tcPr>
          <w:p>
            <w:pPr>
              <w:spacing w:after="0"/>
              <w:rPr>
                <w:sz w:val="20"/>
                <w:szCs w:val="20"/>
                <w:color w:val="auto"/>
              </w:rPr>
            </w:pPr>
          </w:p>
        </w:tc>
        <w:tc>
          <w:tcPr>
            <w:tcW w:w="26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94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96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300" w:type="dxa"/>
            <w:vAlign w:val="bottom"/>
            <w:shd w:val="clear" w:color="auto" w:fill="CFF0FC"/>
          </w:tcPr>
          <w:p>
            <w:pPr>
              <w:spacing w:after="0"/>
              <w:rPr>
                <w:sz w:val="20"/>
                <w:szCs w:val="20"/>
                <w:color w:val="auto"/>
              </w:rPr>
            </w:pPr>
          </w:p>
        </w:tc>
        <w:tc>
          <w:tcPr>
            <w:tcW w:w="74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10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16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34"/>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33,311</w:t>
            </w:r>
          </w:p>
        </w:tc>
        <w:tc>
          <w:tcPr>
            <w:tcW w:w="4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(265 )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33,576</w:t>
            </w:r>
          </w:p>
        </w:tc>
        <w:tc>
          <w:tcPr>
            <w:tcW w:w="54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56,979</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-41.5 %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-41.1 %</w:t>
            </w:r>
          </w:p>
        </w:tc>
        <w:tc>
          <w:tcPr>
            <w:tcW w:w="0" w:type="dxa"/>
            <w:vAlign w:val="bottom"/>
          </w:tcPr>
          <w:p>
            <w:pPr>
              <w:spacing w:after="0"/>
              <w:rPr>
                <w:sz w:val="1"/>
                <w:szCs w:val="1"/>
                <w:color w:val="auto"/>
              </w:rPr>
            </w:pPr>
          </w:p>
        </w:tc>
      </w:tr>
      <w:tr>
        <w:trPr>
          <w:trHeight w:val="238"/>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22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74,846</w:t>
            </w: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w:t>
            </w:r>
          </w:p>
        </w:tc>
        <w:tc>
          <w:tcPr>
            <w:tcW w:w="2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74,776</w:t>
            </w:r>
          </w:p>
        </w:tc>
        <w:tc>
          <w:tcPr>
            <w:tcW w:w="2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59,662</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25.5 %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25.3 %</w:t>
            </w:r>
          </w:p>
        </w:tc>
        <w:tc>
          <w:tcPr>
            <w:tcW w:w="0" w:type="dxa"/>
            <w:vAlign w:val="bottom"/>
          </w:tcPr>
          <w:p>
            <w:pPr>
              <w:spacing w:after="0"/>
              <w:rPr>
                <w:sz w:val="1"/>
                <w:szCs w:val="1"/>
                <w:color w:val="auto"/>
              </w:rPr>
            </w:pPr>
          </w:p>
        </w:tc>
      </w:tr>
      <w:tr>
        <w:trPr>
          <w:trHeight w:val="225"/>
        </w:trPr>
        <w:tc>
          <w:tcPr>
            <w:tcW w:w="33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Total product licenses and subscription</w:t>
            </w:r>
          </w:p>
        </w:tc>
        <w:tc>
          <w:tcPr>
            <w:tcW w:w="220" w:type="dxa"/>
            <w:vAlign w:val="bottom"/>
          </w:tcPr>
          <w:p>
            <w:pPr>
              <w:spacing w:after="0"/>
              <w:rPr>
                <w:sz w:val="19"/>
                <w:szCs w:val="19"/>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108,157</w:t>
            </w:r>
          </w:p>
        </w:tc>
        <w:tc>
          <w:tcPr>
            <w:tcW w:w="260" w:type="dxa"/>
            <w:vAlign w:val="bottom"/>
          </w:tcPr>
          <w:p>
            <w:pPr>
              <w:spacing w:after="0"/>
              <w:rPr>
                <w:sz w:val="19"/>
                <w:szCs w:val="19"/>
                <w:color w:val="auto"/>
              </w:rPr>
            </w:pPr>
          </w:p>
        </w:tc>
        <w:tc>
          <w:tcPr>
            <w:tcW w:w="160" w:type="dxa"/>
            <w:vAlign w:val="bottom"/>
          </w:tcPr>
          <w:p>
            <w:pPr>
              <w:spacing w:after="0"/>
              <w:rPr>
                <w:sz w:val="19"/>
                <w:szCs w:val="19"/>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(195 )</w:t>
            </w:r>
          </w:p>
        </w:tc>
        <w:tc>
          <w:tcPr>
            <w:tcW w:w="140" w:type="dxa"/>
            <w:vAlign w:val="bottom"/>
          </w:tcPr>
          <w:p>
            <w:pPr>
              <w:spacing w:after="0"/>
              <w:rPr>
                <w:sz w:val="19"/>
                <w:szCs w:val="19"/>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108,352</w:t>
            </w:r>
          </w:p>
        </w:tc>
        <w:tc>
          <w:tcPr>
            <w:tcW w:w="240" w:type="dxa"/>
            <w:vAlign w:val="bottom"/>
          </w:tcPr>
          <w:p>
            <w:pPr>
              <w:spacing w:after="0"/>
              <w:rPr>
                <w:sz w:val="19"/>
                <w:szCs w:val="19"/>
                <w:color w:val="auto"/>
              </w:rPr>
            </w:pPr>
          </w:p>
        </w:tc>
        <w:tc>
          <w:tcPr>
            <w:tcW w:w="300" w:type="dxa"/>
            <w:vAlign w:val="bottom"/>
          </w:tcPr>
          <w:p>
            <w:pPr>
              <w:spacing w:after="0"/>
              <w:rPr>
                <w:sz w:val="19"/>
                <w:szCs w:val="19"/>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116,641</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-7.3 %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-7.1 %</w:t>
            </w:r>
          </w:p>
        </w:tc>
        <w:tc>
          <w:tcPr>
            <w:tcW w:w="0" w:type="dxa"/>
            <w:vAlign w:val="bottom"/>
          </w:tcPr>
          <w:p>
            <w:pPr>
              <w:spacing w:after="0"/>
              <w:rPr>
                <w:sz w:val="1"/>
                <w:szCs w:val="1"/>
                <w:color w:val="auto"/>
              </w:rPr>
            </w:pPr>
          </w:p>
        </w:tc>
      </w:tr>
      <w:tr>
        <w:trPr>
          <w:trHeight w:val="234"/>
        </w:trPr>
        <w:tc>
          <w:tcPr>
            <w:tcW w:w="33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services</w:t>
            </w:r>
          </w:p>
        </w:tc>
        <w:tc>
          <w:tcPr>
            <w:tcW w:w="220" w:type="dxa"/>
            <w:vAlign w:val="bottom"/>
          </w:tcPr>
          <w:p>
            <w:pPr>
              <w:spacing w:after="0"/>
              <w:rPr>
                <w:sz w:val="20"/>
                <w:szCs w:val="20"/>
                <w:color w:val="auto"/>
              </w:rPr>
            </w:pPr>
          </w:p>
        </w:tc>
        <w:tc>
          <w:tcPr>
            <w:tcW w:w="90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4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4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16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185,440</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185,413</w:t>
            </w:r>
          </w:p>
        </w:tc>
        <w:tc>
          <w:tcPr>
            <w:tcW w:w="240" w:type="dxa"/>
            <w:vAlign w:val="bottom"/>
          </w:tcPr>
          <w:p>
            <w:pPr>
              <w:spacing w:after="0"/>
              <w:rPr>
                <w:sz w:val="21"/>
                <w:szCs w:val="21"/>
                <w:color w:val="auto"/>
              </w:rPr>
            </w:pPr>
          </w:p>
        </w:tc>
        <w:tc>
          <w:tcPr>
            <w:tcW w:w="300" w:type="dxa"/>
            <w:vAlign w:val="bottom"/>
          </w:tcPr>
          <w:p>
            <w:pPr>
              <w:spacing w:after="0"/>
              <w:rPr>
                <w:sz w:val="21"/>
                <w:szCs w:val="21"/>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198,422</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-6.5 %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-6.6 %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49,162</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(12 )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49,174</w:t>
            </w:r>
          </w:p>
        </w:tc>
        <w:tc>
          <w:tcPr>
            <w:tcW w:w="240" w:type="dxa"/>
            <w:vAlign w:val="bottom"/>
          </w:tcPr>
          <w:p>
            <w:pPr>
              <w:spacing w:after="0"/>
              <w:rPr>
                <w:sz w:val="21"/>
                <w:szCs w:val="21"/>
                <w:color w:val="auto"/>
              </w:rPr>
            </w:pPr>
          </w:p>
        </w:tc>
        <w:tc>
          <w:tcPr>
            <w:tcW w:w="300" w:type="dxa"/>
            <w:vAlign w:val="bottom"/>
          </w:tcPr>
          <w:p>
            <w:pPr>
              <w:spacing w:after="0"/>
              <w:rPr>
                <w:sz w:val="21"/>
                <w:szCs w:val="21"/>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56,714</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-13.3 %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-13.3 %</w:t>
            </w:r>
          </w:p>
        </w:tc>
        <w:tc>
          <w:tcPr>
            <w:tcW w:w="0" w:type="dxa"/>
            <w:vAlign w:val="bottom"/>
          </w:tcPr>
          <w:p>
            <w:pPr>
              <w:spacing w:after="0"/>
              <w:rPr>
                <w:sz w:val="1"/>
                <w:szCs w:val="1"/>
                <w:color w:val="auto"/>
              </w:rPr>
            </w:pPr>
          </w:p>
        </w:tc>
      </w:tr>
      <w:tr>
        <w:trPr>
          <w:trHeight w:val="243"/>
        </w:trPr>
        <w:tc>
          <w:tcPr>
            <w:tcW w:w="3360" w:type="dxa"/>
            <w:vAlign w:val="bottom"/>
          </w:tcPr>
          <w:p>
            <w:pPr>
              <w:ind w:left="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342,759</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(180 )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342,939</w:t>
            </w:r>
          </w:p>
        </w:tc>
        <w:tc>
          <w:tcPr>
            <w:tcW w:w="240" w:type="dxa"/>
            <w:vAlign w:val="bottom"/>
          </w:tcPr>
          <w:p>
            <w:pPr>
              <w:spacing w:after="0"/>
              <w:rPr>
                <w:sz w:val="21"/>
                <w:szCs w:val="21"/>
                <w:color w:val="auto"/>
              </w:rPr>
            </w:pPr>
          </w:p>
        </w:tc>
        <w:tc>
          <w:tcPr>
            <w:tcW w:w="300" w:type="dxa"/>
            <w:vAlign w:val="bottom"/>
          </w:tcPr>
          <w:p>
            <w:pPr>
              <w:spacing w:after="0"/>
              <w:rPr>
                <w:sz w:val="21"/>
                <w:szCs w:val="21"/>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371,777</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-7.8 %</w:t>
            </w:r>
          </w:p>
        </w:tc>
        <w:tc>
          <w:tcPr>
            <w:tcW w:w="132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-7.8 %</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-3119755</wp:posOffset>
            </wp:positionV>
            <wp:extent cx="7132320" cy="154305"/>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-2673985</wp:posOffset>
            </wp:positionV>
            <wp:extent cx="7132320" cy="15430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-2365375</wp:posOffset>
            </wp:positionV>
            <wp:extent cx="7132320" cy="154305"/>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-899795</wp:posOffset>
            </wp:positionV>
            <wp:extent cx="7132320" cy="154305"/>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-454025</wp:posOffset>
            </wp:positionV>
            <wp:extent cx="7132320" cy="154305"/>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-145415</wp:posOffset>
            </wp:positionV>
            <wp:extent cx="7132320" cy="15430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191" w:lineRule="exact"/>
        <w:rPr>
          <w:sz w:val="20"/>
          <w:szCs w:val="20"/>
          <w:color w:val="auto"/>
        </w:rPr>
      </w:pPr>
    </w:p>
    <w:p>
      <w:pPr>
        <w:jc w:val="both"/>
        <w:ind w:left="520" w:right="60" w:hanging="512"/>
        <w:spacing w:after="0" w:line="261" w:lineRule="auto"/>
        <w:tabs>
          <w:tab w:leader="none" w:pos="5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“Foreign Currency Exchange Rate Impact” reflects the estimated impact of fluctuations in foreign currency exchange rates on international revenues. It shows the increase (decrease) in international revenues from the same period in the prior year, based on comparisons to the prior year quarterly average foreign currency exchange rates. “International revenues” refers to revenues from operations outside of the United States and Canada only where the functional currency is the local currency (i.e., excluding any location whose economy is considered highly inflationary).</w:t>
      </w:r>
    </w:p>
    <w:p>
      <w:pPr>
        <w:spacing w:after="0" w:line="166" w:lineRule="exact"/>
        <w:rPr>
          <w:rFonts w:ascii="Times New Roman" w:cs="Times New Roman" w:eastAsia="Times New Roman" w:hAnsi="Times New Roman"/>
          <w:sz w:val="18"/>
          <w:szCs w:val="18"/>
          <w:color w:val="auto"/>
        </w:rPr>
      </w:pPr>
    </w:p>
    <w:p>
      <w:pPr>
        <w:ind w:left="520" w:hanging="512"/>
        <w:spacing w:after="0"/>
        <w:tabs>
          <w:tab w:leader="none" w:pos="5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“Non-GAAP Constant Currency” reflects the current period GAAP amount, less the Foreign Currency Exchange Rate Impact.</w:t>
      </w:r>
    </w:p>
    <w:p>
      <w:pPr>
        <w:spacing w:after="0" w:line="211" w:lineRule="exact"/>
        <w:rPr>
          <w:rFonts w:ascii="Times New Roman" w:cs="Times New Roman" w:eastAsia="Times New Roman" w:hAnsi="Times New Roman"/>
          <w:sz w:val="18"/>
          <w:szCs w:val="18"/>
          <w:color w:val="auto"/>
        </w:rPr>
      </w:pPr>
    </w:p>
    <w:p>
      <w:pPr>
        <w:ind w:left="520" w:right="60" w:hanging="512"/>
        <w:spacing w:after="0" w:line="282" w:lineRule="auto"/>
        <w:tabs>
          <w:tab w:leader="none" w:pos="5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“Non-GAAP Constant Currency % Change” reflects the percentage change between the current period Non-GAAP Constant Currency amount and the GAAP amount for the same period in the prior year.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735965</wp:posOffset>
            </wp:positionV>
            <wp:extent cx="7157720" cy="42545"/>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981" w:right="279" w:bottom="1440" w:gutter="0" w:footer="0" w:header="0"/>
        </w:sectPr>
      </w:pPr>
    </w:p>
    <w:bookmarkStart w:id="15" w:name="page16"/>
    <w:bookmarkEnd w:id="15"/>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DEFERRED REVENUE DETAIL</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41" w:lineRule="exact"/>
        <w:rPr>
          <w:sz w:val="20"/>
          <w:szCs w:val="20"/>
          <w:color w:val="auto"/>
        </w:rPr>
      </w:pPr>
    </w:p>
    <w:tbl>
      <w:tblPr>
        <w:tblLayout w:type="fixed"/>
        <w:tblInd w:w="0" w:type="dxa"/>
        <w:tblCellMar>
          <w:top w:w="0" w:type="dxa"/>
          <w:left w:w="0" w:type="dxa"/>
          <w:bottom w:w="0" w:type="dxa"/>
          <w:right w:w="0" w:type="dxa"/>
        </w:tblCellMar>
      </w:tblPr>
      <w:tr>
        <w:trPr>
          <w:trHeight w:val="189"/>
        </w:trPr>
        <w:tc>
          <w:tcPr>
            <w:tcW w:w="120" w:type="dxa"/>
            <w:vAlign w:val="bottom"/>
          </w:tcPr>
          <w:p>
            <w:pPr>
              <w:spacing w:after="0"/>
              <w:rPr>
                <w:sz w:val="16"/>
                <w:szCs w:val="16"/>
                <w:color w:val="auto"/>
              </w:rPr>
            </w:pPr>
          </w:p>
        </w:tc>
        <w:tc>
          <w:tcPr>
            <w:tcW w:w="65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180" w:type="dxa"/>
            <w:vAlign w:val="bottom"/>
          </w:tcPr>
          <w:p>
            <w:pPr>
              <w:jc w:val="center"/>
              <w:ind w:right="93"/>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2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1140" w:type="dxa"/>
            <w:vAlign w:val="bottom"/>
          </w:tcPr>
          <w:p>
            <w:pPr>
              <w:jc w:val="right"/>
              <w:ind w:right="152"/>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260" w:type="dxa"/>
            <w:vAlign w:val="bottom"/>
            <w:gridSpan w:val="2"/>
          </w:tcPr>
          <w:p>
            <w:pPr>
              <w:jc w:val="center"/>
              <w:ind w:right="260"/>
              <w:spacing w:after="0"/>
              <w:rPr>
                <w:sz w:val="20"/>
                <w:szCs w:val="20"/>
                <w:color w:val="auto"/>
              </w:rPr>
            </w:pPr>
            <w:r>
              <w:rPr>
                <w:rFonts w:ascii="Times New Roman" w:cs="Times New Roman" w:eastAsia="Times New Roman" w:hAnsi="Times New Roman"/>
                <w:sz w:val="14"/>
                <w:szCs w:val="14"/>
                <w:b w:val="1"/>
                <w:bCs w:val="1"/>
                <w:color w:val="auto"/>
              </w:rPr>
              <w:t>September 30,</w:t>
            </w:r>
          </w:p>
        </w:tc>
        <w:tc>
          <w:tcPr>
            <w:tcW w:w="0" w:type="dxa"/>
            <w:vAlign w:val="bottom"/>
          </w:tcPr>
          <w:p>
            <w:pPr>
              <w:spacing w:after="0"/>
              <w:rPr>
                <w:sz w:val="1"/>
                <w:szCs w:val="1"/>
                <w:color w:val="auto"/>
              </w:rPr>
            </w:pPr>
          </w:p>
        </w:tc>
      </w:tr>
      <w:tr>
        <w:trPr>
          <w:trHeight w:val="187"/>
        </w:trPr>
        <w:tc>
          <w:tcPr>
            <w:tcW w:w="120" w:type="dxa"/>
            <w:vAlign w:val="bottom"/>
          </w:tcPr>
          <w:p>
            <w:pPr>
              <w:spacing w:after="0"/>
              <w:rPr>
                <w:sz w:val="16"/>
                <w:szCs w:val="16"/>
                <w:color w:val="auto"/>
              </w:rPr>
            </w:pPr>
          </w:p>
        </w:tc>
        <w:tc>
          <w:tcPr>
            <w:tcW w:w="656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180" w:type="dxa"/>
            <w:vAlign w:val="bottom"/>
            <w:tcBorders>
              <w:bottom w:val="single" w:sz="8" w:color="auto"/>
            </w:tcBorders>
          </w:tcPr>
          <w:p>
            <w:pPr>
              <w:jc w:val="center"/>
              <w:ind w:right="93"/>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40" w:type="dxa"/>
            <w:vAlign w:val="bottom"/>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jc w:val="right"/>
              <w:ind w:right="39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jc w:val="center"/>
              <w:ind w:right="73"/>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10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6"/>
        </w:trPr>
        <w:tc>
          <w:tcPr>
            <w:tcW w:w="120" w:type="dxa"/>
            <w:vAlign w:val="bottom"/>
          </w:tcPr>
          <w:p>
            <w:pPr>
              <w:spacing w:after="0"/>
              <w:rPr>
                <w:sz w:val="17"/>
                <w:szCs w:val="17"/>
                <w:color w:val="auto"/>
              </w:rPr>
            </w:pPr>
          </w:p>
        </w:tc>
        <w:tc>
          <w:tcPr>
            <w:tcW w:w="656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180" w:type="dxa"/>
            <w:vAlign w:val="bottom"/>
          </w:tcPr>
          <w:p>
            <w:pPr>
              <w:jc w:val="center"/>
              <w:ind w:right="93"/>
              <w:spacing w:after="0"/>
              <w:rPr>
                <w:sz w:val="20"/>
                <w:szCs w:val="20"/>
                <w:color w:val="auto"/>
              </w:rPr>
            </w:pPr>
            <w:r>
              <w:rPr>
                <w:rFonts w:ascii="Times New Roman" w:cs="Times New Roman" w:eastAsia="Times New Roman" w:hAnsi="Times New Roman"/>
                <w:sz w:val="14"/>
                <w:szCs w:val="14"/>
                <w:b w:val="1"/>
                <w:bCs w:val="1"/>
                <w:color w:val="auto"/>
              </w:rPr>
              <w:t>(unaudited)</w:t>
            </w:r>
          </w:p>
        </w:tc>
        <w:tc>
          <w:tcPr>
            <w:tcW w:w="24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114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260" w:type="dxa"/>
            <w:vAlign w:val="bottom"/>
            <w:gridSpan w:val="2"/>
          </w:tcPr>
          <w:p>
            <w:pPr>
              <w:jc w:val="center"/>
              <w:ind w:right="260"/>
              <w:spacing w:after="0"/>
              <w:rPr>
                <w:sz w:val="20"/>
                <w:szCs w:val="20"/>
                <w:color w:val="auto"/>
              </w:rPr>
            </w:pPr>
            <w:r>
              <w:rPr>
                <w:rFonts w:ascii="Times New Roman" w:cs="Times New Roman" w:eastAsia="Times New Roman" w:hAnsi="Times New Roman"/>
                <w:sz w:val="14"/>
                <w:szCs w:val="14"/>
                <w:b w:val="1"/>
                <w:bCs w:val="1"/>
                <w:color w:val="auto"/>
              </w:rPr>
              <w:t>(unaudited)</w:t>
            </w:r>
          </w:p>
        </w:tc>
        <w:tc>
          <w:tcPr>
            <w:tcW w:w="0" w:type="dxa"/>
            <w:vAlign w:val="bottom"/>
          </w:tcPr>
          <w:p>
            <w:pPr>
              <w:spacing w:after="0"/>
              <w:rPr>
                <w:sz w:val="1"/>
                <w:szCs w:val="1"/>
                <w:color w:val="auto"/>
              </w:rPr>
            </w:pPr>
          </w:p>
        </w:tc>
      </w:tr>
      <w:tr>
        <w:trPr>
          <w:trHeight w:val="243"/>
        </w:trPr>
        <w:tc>
          <w:tcPr>
            <w:tcW w:w="66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Current:</w:t>
            </w:r>
          </w:p>
        </w:tc>
        <w:tc>
          <w:tcPr>
            <w:tcW w:w="160" w:type="dxa"/>
            <w:vAlign w:val="bottom"/>
            <w:shd w:val="clear" w:color="auto" w:fill="CFF0FC"/>
          </w:tcPr>
          <w:p>
            <w:pPr>
              <w:spacing w:after="0"/>
              <w:rPr>
                <w:sz w:val="21"/>
                <w:szCs w:val="21"/>
                <w:color w:val="auto"/>
              </w:rPr>
            </w:pPr>
          </w:p>
        </w:tc>
        <w:tc>
          <w:tcPr>
            <w:tcW w:w="11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1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16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409</w:t>
            </w:r>
          </w:p>
        </w:tc>
        <w:tc>
          <w:tcPr>
            <w:tcW w:w="4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40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2,814</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66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6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74,164</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65,512</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45,737</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6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106,866</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152,012</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126,087</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668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60" w:type="dxa"/>
            <w:vAlign w:val="bottom"/>
            <w:tcBorders>
              <w:bottom w:val="single" w:sz="8" w:color="auto"/>
            </w:tcBorders>
            <w:shd w:val="clear" w:color="auto" w:fill="CFF0FC"/>
          </w:tcPr>
          <w:p>
            <w:pPr>
              <w:spacing w:after="0"/>
              <w:rPr>
                <w:sz w:val="21"/>
                <w:szCs w:val="21"/>
                <w:color w:val="auto"/>
              </w:rPr>
            </w:pPr>
          </w:p>
        </w:tc>
        <w:tc>
          <w:tcPr>
            <w:tcW w:w="1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2,963</w:t>
            </w:r>
          </w:p>
        </w:tc>
        <w:tc>
          <w:tcPr>
            <w:tcW w:w="24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auto"/>
            </w:tcBorders>
            <w:shd w:val="clear" w:color="auto" w:fill="CFF0FC"/>
          </w:tcPr>
          <w:p>
            <w:pPr>
              <w:spacing w:after="0"/>
              <w:rPr>
                <w:sz w:val="21"/>
                <w:szCs w:val="21"/>
                <w:color w:val="auto"/>
              </w:rPr>
            </w:pPr>
          </w:p>
        </w:tc>
        <w:tc>
          <w:tcPr>
            <w:tcW w:w="1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7,059</w:t>
            </w:r>
          </w:p>
        </w:tc>
        <w:tc>
          <w:tcPr>
            <w:tcW w:w="240" w:type="dxa"/>
            <w:vAlign w:val="bottom"/>
            <w:tcBorders>
              <w:bottom w:val="single" w:sz="8" w:color="CFF0FC"/>
            </w:tcBorders>
            <w:shd w:val="clear" w:color="auto" w:fill="CFF0FC"/>
          </w:tcPr>
          <w:p>
            <w:pPr>
              <w:spacing w:after="0"/>
              <w:rPr>
                <w:sz w:val="21"/>
                <w:szCs w:val="21"/>
                <w:color w:val="auto"/>
              </w:rPr>
            </w:pPr>
          </w:p>
        </w:tc>
        <w:tc>
          <w:tcPr>
            <w:tcW w:w="160" w:type="dxa"/>
            <w:vAlign w:val="bottom"/>
            <w:tcBorders>
              <w:bottom w:val="single" w:sz="8" w:color="auto"/>
            </w:tcBorders>
            <w:shd w:val="clear" w:color="auto" w:fill="CFF0FC"/>
          </w:tcPr>
          <w:p>
            <w:pPr>
              <w:spacing w:after="0"/>
              <w:rPr>
                <w:sz w:val="21"/>
                <w:szCs w:val="21"/>
                <w:color w:val="auto"/>
              </w:rPr>
            </w:pPr>
          </w:p>
        </w:tc>
        <w:tc>
          <w:tcPr>
            <w:tcW w:w="1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4,529</w:t>
            </w: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120" w:type="dxa"/>
            <w:vAlign w:val="bottom"/>
          </w:tcPr>
          <w:p>
            <w:pPr>
              <w:spacing w:after="0"/>
              <w:rPr>
                <w:sz w:val="20"/>
                <w:szCs w:val="20"/>
                <w:color w:val="auto"/>
              </w:rPr>
            </w:pPr>
          </w:p>
        </w:tc>
        <w:tc>
          <w:tcPr>
            <w:tcW w:w="65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current deferred revenue and advance payments</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184,402</w:t>
            </w:r>
          </w:p>
        </w:tc>
        <w:tc>
          <w:tcPr>
            <w:tcW w:w="4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40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179,167</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0"/>
        </w:trPr>
        <w:tc>
          <w:tcPr>
            <w:tcW w:w="120" w:type="dxa"/>
            <w:vAlign w:val="bottom"/>
          </w:tcPr>
          <w:p>
            <w:pPr>
              <w:spacing w:after="0" w:line="20" w:lineRule="exact"/>
              <w:rPr>
                <w:sz w:val="1"/>
                <w:szCs w:val="1"/>
                <w:color w:val="auto"/>
              </w:rPr>
            </w:pPr>
          </w:p>
        </w:tc>
        <w:tc>
          <w:tcPr>
            <w:tcW w:w="65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1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11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1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28"/>
        </w:trPr>
        <w:tc>
          <w:tcPr>
            <w:tcW w:w="6680" w:type="dxa"/>
            <w:vAlign w:val="bottom"/>
            <w:gridSpan w:val="2"/>
            <w:shd w:val="clear" w:color="auto" w:fill="CFF0FC"/>
          </w:tcPr>
          <w:p>
            <w:pPr>
              <w:spacing w:after="0"/>
              <w:rPr>
                <w:sz w:val="19"/>
                <w:szCs w:val="19"/>
                <w:color w:val="auto"/>
              </w:rPr>
            </w:pPr>
          </w:p>
        </w:tc>
        <w:tc>
          <w:tcPr>
            <w:tcW w:w="160" w:type="dxa"/>
            <w:vAlign w:val="bottom"/>
            <w:shd w:val="clear" w:color="auto" w:fill="CFF0FC"/>
          </w:tcPr>
          <w:p>
            <w:pPr>
              <w:spacing w:after="0"/>
              <w:rPr>
                <w:sz w:val="19"/>
                <w:szCs w:val="19"/>
                <w:color w:val="auto"/>
              </w:rPr>
            </w:pPr>
          </w:p>
        </w:tc>
        <w:tc>
          <w:tcPr>
            <w:tcW w:w="1180" w:type="dxa"/>
            <w:vAlign w:val="bottom"/>
            <w:shd w:val="clear" w:color="auto" w:fill="CFF0FC"/>
          </w:tcPr>
          <w:p>
            <w:pPr>
              <w:spacing w:after="0"/>
              <w:rPr>
                <w:sz w:val="19"/>
                <w:szCs w:val="19"/>
                <w:color w:val="auto"/>
              </w:rPr>
            </w:pPr>
          </w:p>
        </w:tc>
        <w:tc>
          <w:tcPr>
            <w:tcW w:w="240" w:type="dxa"/>
            <w:vAlign w:val="bottom"/>
            <w:shd w:val="clear" w:color="auto" w:fill="CFF0FC"/>
          </w:tcPr>
          <w:p>
            <w:pPr>
              <w:spacing w:after="0"/>
              <w:rPr>
                <w:sz w:val="19"/>
                <w:szCs w:val="19"/>
                <w:color w:val="auto"/>
              </w:rPr>
            </w:pPr>
          </w:p>
        </w:tc>
        <w:tc>
          <w:tcPr>
            <w:tcW w:w="180" w:type="dxa"/>
            <w:vAlign w:val="bottom"/>
            <w:shd w:val="clear" w:color="auto" w:fill="CFF0FC"/>
          </w:tcPr>
          <w:p>
            <w:pPr>
              <w:spacing w:after="0"/>
              <w:rPr>
                <w:sz w:val="19"/>
                <w:szCs w:val="19"/>
                <w:color w:val="auto"/>
              </w:rPr>
            </w:pPr>
          </w:p>
        </w:tc>
        <w:tc>
          <w:tcPr>
            <w:tcW w:w="1140" w:type="dxa"/>
            <w:vAlign w:val="bottom"/>
            <w:shd w:val="clear" w:color="auto" w:fill="CFF0FC"/>
          </w:tcPr>
          <w:p>
            <w:pPr>
              <w:spacing w:after="0"/>
              <w:rPr>
                <w:sz w:val="19"/>
                <w:szCs w:val="19"/>
                <w:color w:val="auto"/>
              </w:rPr>
            </w:pPr>
          </w:p>
        </w:tc>
        <w:tc>
          <w:tcPr>
            <w:tcW w:w="240" w:type="dxa"/>
            <w:vAlign w:val="bottom"/>
            <w:shd w:val="clear" w:color="auto" w:fill="CFF0FC"/>
          </w:tcPr>
          <w:p>
            <w:pPr>
              <w:spacing w:after="0"/>
              <w:rPr>
                <w:sz w:val="19"/>
                <w:szCs w:val="19"/>
                <w:color w:val="auto"/>
              </w:rPr>
            </w:pPr>
          </w:p>
        </w:tc>
        <w:tc>
          <w:tcPr>
            <w:tcW w:w="160" w:type="dxa"/>
            <w:vAlign w:val="bottom"/>
            <w:shd w:val="clear" w:color="auto" w:fill="CFF0FC"/>
          </w:tcPr>
          <w:p>
            <w:pPr>
              <w:spacing w:after="0"/>
              <w:rPr>
                <w:sz w:val="19"/>
                <w:szCs w:val="19"/>
                <w:color w:val="auto"/>
              </w:rPr>
            </w:pPr>
          </w:p>
        </w:tc>
        <w:tc>
          <w:tcPr>
            <w:tcW w:w="1160" w:type="dxa"/>
            <w:vAlign w:val="bottom"/>
            <w:shd w:val="clear" w:color="auto" w:fill="CFF0FC"/>
          </w:tcPr>
          <w:p>
            <w:pPr>
              <w:spacing w:after="0"/>
              <w:rPr>
                <w:sz w:val="19"/>
                <w:szCs w:val="19"/>
                <w:color w:val="auto"/>
              </w:rPr>
            </w:pPr>
          </w:p>
        </w:tc>
        <w:tc>
          <w:tcPr>
            <w:tcW w:w="100" w:type="dxa"/>
            <w:vAlign w:val="bottom"/>
            <w:shd w:val="clear" w:color="auto" w:fill="CFF0FC"/>
          </w:tcPr>
          <w:p>
            <w:pPr>
              <w:spacing w:after="0"/>
              <w:rPr>
                <w:sz w:val="19"/>
                <w:szCs w:val="19"/>
                <w:color w:val="auto"/>
              </w:rPr>
            </w:pPr>
          </w:p>
        </w:tc>
        <w:tc>
          <w:tcPr>
            <w:tcW w:w="0" w:type="dxa"/>
            <w:vAlign w:val="bottom"/>
          </w:tcPr>
          <w:p>
            <w:pPr>
              <w:spacing w:after="0"/>
              <w:rPr>
                <w:sz w:val="1"/>
                <w:szCs w:val="1"/>
                <w:color w:val="auto"/>
              </w:rPr>
            </w:pPr>
          </w:p>
        </w:tc>
      </w:tr>
      <w:tr>
        <w:trPr>
          <w:trHeight w:val="241"/>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Non-current:</w:t>
            </w:r>
          </w:p>
        </w:tc>
        <w:tc>
          <w:tcPr>
            <w:tcW w:w="160" w:type="dxa"/>
            <w:vAlign w:val="bottom"/>
          </w:tcPr>
          <w:p>
            <w:pPr>
              <w:spacing w:after="0"/>
              <w:rPr>
                <w:sz w:val="20"/>
                <w:szCs w:val="20"/>
                <w:color w:val="auto"/>
              </w:rPr>
            </w:pPr>
          </w:p>
        </w:tc>
        <w:tc>
          <w:tcPr>
            <w:tcW w:w="11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1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16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66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0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6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3,373</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3,097</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2,845</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66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6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2,635</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4,984</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4,304</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60" w:type="dxa"/>
            <w:vAlign w:val="bottom"/>
            <w:tcBorders>
              <w:bottom w:val="single" w:sz="8" w:color="auto"/>
            </w:tcBorders>
          </w:tcPr>
          <w:p>
            <w:pPr>
              <w:spacing w:after="0"/>
              <w:rPr>
                <w:sz w:val="20"/>
                <w:szCs w:val="20"/>
                <w:color w:val="auto"/>
              </w:rPr>
            </w:pPr>
          </w:p>
        </w:tc>
        <w:tc>
          <w:tcPr>
            <w:tcW w:w="11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336</w:t>
            </w:r>
          </w:p>
        </w:tc>
        <w:tc>
          <w:tcPr>
            <w:tcW w:w="240" w:type="dxa"/>
            <w:vAlign w:val="bottom"/>
          </w:tcPr>
          <w:p>
            <w:pPr>
              <w:spacing w:after="0"/>
              <w:rPr>
                <w:sz w:val="20"/>
                <w:szCs w:val="20"/>
                <w:color w:val="auto"/>
              </w:rPr>
            </w:pPr>
          </w:p>
        </w:tc>
        <w:tc>
          <w:tcPr>
            <w:tcW w:w="180" w:type="dxa"/>
            <w:vAlign w:val="bottom"/>
            <w:tcBorders>
              <w:bottom w:val="single" w:sz="8" w:color="auto"/>
            </w:tcBorders>
          </w:tcPr>
          <w:p>
            <w:pPr>
              <w:spacing w:after="0"/>
              <w:rPr>
                <w:sz w:val="20"/>
                <w:szCs w:val="20"/>
                <w:color w:val="auto"/>
              </w:rPr>
            </w:pPr>
          </w:p>
        </w:tc>
        <w:tc>
          <w:tcPr>
            <w:tcW w:w="11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443</w:t>
            </w:r>
          </w:p>
        </w:tc>
        <w:tc>
          <w:tcPr>
            <w:tcW w:w="240" w:type="dxa"/>
            <w:vAlign w:val="bottom"/>
          </w:tcPr>
          <w:p>
            <w:pPr>
              <w:spacing w:after="0"/>
              <w:rPr>
                <w:sz w:val="20"/>
                <w:szCs w:val="20"/>
                <w:color w:val="auto"/>
              </w:rPr>
            </w:pPr>
          </w:p>
        </w:tc>
        <w:tc>
          <w:tcPr>
            <w:tcW w:w="160" w:type="dxa"/>
            <w:vAlign w:val="bottom"/>
            <w:tcBorders>
              <w:bottom w:val="single" w:sz="8" w:color="auto"/>
            </w:tcBorders>
          </w:tcPr>
          <w:p>
            <w:pPr>
              <w:spacing w:after="0"/>
              <w:rPr>
                <w:sz w:val="20"/>
                <w:szCs w:val="20"/>
                <w:color w:val="auto"/>
              </w:rPr>
            </w:pPr>
          </w:p>
        </w:tc>
        <w:tc>
          <w:tcPr>
            <w:tcW w:w="11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480</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76"/>
        </w:trPr>
        <w:tc>
          <w:tcPr>
            <w:tcW w:w="120" w:type="dxa"/>
            <w:vAlign w:val="bottom"/>
            <w:shd w:val="clear" w:color="auto" w:fill="CFF0FC"/>
          </w:tcPr>
          <w:p>
            <w:pPr>
              <w:spacing w:after="0"/>
              <w:rPr>
                <w:sz w:val="24"/>
                <w:szCs w:val="24"/>
                <w:color w:val="auto"/>
              </w:rPr>
            </w:pPr>
          </w:p>
        </w:tc>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non-current deferred revenue and advance payments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6,344</w:t>
            </w:r>
          </w:p>
        </w:tc>
        <w:tc>
          <w:tcPr>
            <w:tcW w:w="4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40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7,638</w:t>
            </w:r>
          </w:p>
        </w:tc>
        <w:tc>
          <w:tcPr>
            <w:tcW w:w="100" w:type="dxa"/>
            <w:vAlign w:val="bottom"/>
            <w:shd w:val="clear" w:color="auto" w:fill="CFF0FC"/>
          </w:tcPr>
          <w:p>
            <w:pPr>
              <w:spacing w:after="0"/>
              <w:rPr>
                <w:sz w:val="24"/>
                <w:szCs w:val="24"/>
                <w:color w:val="auto"/>
              </w:rPr>
            </w:pPr>
          </w:p>
        </w:tc>
        <w:tc>
          <w:tcPr>
            <w:tcW w:w="0" w:type="dxa"/>
            <w:vAlign w:val="bottom"/>
          </w:tcPr>
          <w:p>
            <w:pPr>
              <w:spacing w:after="0"/>
              <w:rPr>
                <w:sz w:val="1"/>
                <w:szCs w:val="1"/>
                <w:color w:val="auto"/>
              </w:rPr>
            </w:pPr>
          </w:p>
        </w:tc>
      </w:tr>
      <w:tr>
        <w:trPr>
          <w:trHeight w:val="228"/>
        </w:trPr>
        <w:tc>
          <w:tcPr>
            <w:tcW w:w="6680" w:type="dxa"/>
            <w:vAlign w:val="bottom"/>
            <w:tcBorders>
              <w:top w:val="single" w:sz="8" w:color="CFF0FC"/>
            </w:tcBorders>
            <w:gridSpan w:val="2"/>
          </w:tcPr>
          <w:p>
            <w:pPr>
              <w:spacing w:after="0"/>
              <w:rPr>
                <w:sz w:val="19"/>
                <w:szCs w:val="19"/>
                <w:color w:val="auto"/>
              </w:rPr>
            </w:pPr>
          </w:p>
        </w:tc>
        <w:tc>
          <w:tcPr>
            <w:tcW w:w="160" w:type="dxa"/>
            <w:vAlign w:val="bottom"/>
            <w:tcBorders>
              <w:top w:val="single" w:sz="8" w:color="auto"/>
            </w:tcBorders>
          </w:tcPr>
          <w:p>
            <w:pPr>
              <w:spacing w:after="0"/>
              <w:rPr>
                <w:sz w:val="19"/>
                <w:szCs w:val="19"/>
                <w:color w:val="auto"/>
              </w:rPr>
            </w:pPr>
          </w:p>
        </w:tc>
        <w:tc>
          <w:tcPr>
            <w:tcW w:w="1180" w:type="dxa"/>
            <w:vAlign w:val="bottom"/>
            <w:tcBorders>
              <w:top w:val="single" w:sz="8" w:color="auto"/>
            </w:tcBorders>
          </w:tcPr>
          <w:p>
            <w:pPr>
              <w:spacing w:after="0"/>
              <w:rPr>
                <w:sz w:val="19"/>
                <w:szCs w:val="19"/>
                <w:color w:val="auto"/>
              </w:rPr>
            </w:pPr>
          </w:p>
        </w:tc>
        <w:tc>
          <w:tcPr>
            <w:tcW w:w="240" w:type="dxa"/>
            <w:vAlign w:val="bottom"/>
            <w:tcBorders>
              <w:top w:val="single" w:sz="8" w:color="CFF0FC"/>
            </w:tcBorders>
          </w:tcPr>
          <w:p>
            <w:pPr>
              <w:spacing w:after="0"/>
              <w:rPr>
                <w:sz w:val="19"/>
                <w:szCs w:val="19"/>
                <w:color w:val="auto"/>
              </w:rPr>
            </w:pPr>
          </w:p>
        </w:tc>
        <w:tc>
          <w:tcPr>
            <w:tcW w:w="180" w:type="dxa"/>
            <w:vAlign w:val="bottom"/>
            <w:tcBorders>
              <w:top w:val="single" w:sz="8" w:color="auto"/>
            </w:tcBorders>
          </w:tcPr>
          <w:p>
            <w:pPr>
              <w:spacing w:after="0"/>
              <w:rPr>
                <w:sz w:val="19"/>
                <w:szCs w:val="19"/>
                <w:color w:val="auto"/>
              </w:rPr>
            </w:pPr>
          </w:p>
        </w:tc>
        <w:tc>
          <w:tcPr>
            <w:tcW w:w="1140" w:type="dxa"/>
            <w:vAlign w:val="bottom"/>
            <w:tcBorders>
              <w:top w:val="single" w:sz="8" w:color="auto"/>
            </w:tcBorders>
          </w:tcPr>
          <w:p>
            <w:pPr>
              <w:spacing w:after="0"/>
              <w:rPr>
                <w:sz w:val="19"/>
                <w:szCs w:val="19"/>
                <w:color w:val="auto"/>
              </w:rPr>
            </w:pPr>
          </w:p>
        </w:tc>
        <w:tc>
          <w:tcPr>
            <w:tcW w:w="240" w:type="dxa"/>
            <w:vAlign w:val="bottom"/>
            <w:tcBorders>
              <w:top w:val="single" w:sz="8" w:color="CFF0FC"/>
            </w:tcBorders>
          </w:tcPr>
          <w:p>
            <w:pPr>
              <w:spacing w:after="0"/>
              <w:rPr>
                <w:sz w:val="19"/>
                <w:szCs w:val="19"/>
                <w:color w:val="auto"/>
              </w:rPr>
            </w:pPr>
          </w:p>
        </w:tc>
        <w:tc>
          <w:tcPr>
            <w:tcW w:w="160" w:type="dxa"/>
            <w:vAlign w:val="bottom"/>
            <w:tcBorders>
              <w:top w:val="single" w:sz="8" w:color="auto"/>
            </w:tcBorders>
          </w:tcPr>
          <w:p>
            <w:pPr>
              <w:spacing w:after="0"/>
              <w:rPr>
                <w:sz w:val="19"/>
                <w:szCs w:val="19"/>
                <w:color w:val="auto"/>
              </w:rPr>
            </w:pPr>
          </w:p>
        </w:tc>
        <w:tc>
          <w:tcPr>
            <w:tcW w:w="1160" w:type="dxa"/>
            <w:vAlign w:val="bottom"/>
            <w:tcBorders>
              <w:top w:val="single" w:sz="8" w:color="auto"/>
            </w:tcBorders>
          </w:tcPr>
          <w:p>
            <w:pPr>
              <w:spacing w:after="0"/>
              <w:rPr>
                <w:sz w:val="19"/>
                <w:szCs w:val="19"/>
                <w:color w:val="auto"/>
              </w:rPr>
            </w:pPr>
          </w:p>
        </w:tc>
        <w:tc>
          <w:tcPr>
            <w:tcW w:w="100" w:type="dxa"/>
            <w:vAlign w:val="bottom"/>
            <w:tcBorders>
              <w:top w:val="single" w:sz="8" w:color="CFF0FC"/>
            </w:tcBorders>
          </w:tcPr>
          <w:p>
            <w:pPr>
              <w:spacing w:after="0"/>
              <w:rPr>
                <w:sz w:val="19"/>
                <w:szCs w:val="19"/>
                <w:color w:val="auto"/>
              </w:rPr>
            </w:pPr>
          </w:p>
        </w:tc>
        <w:tc>
          <w:tcPr>
            <w:tcW w:w="0" w:type="dxa"/>
            <w:vAlign w:val="bottom"/>
          </w:tcPr>
          <w:p>
            <w:pPr>
              <w:spacing w:after="0"/>
              <w:rPr>
                <w:sz w:val="1"/>
                <w:szCs w:val="1"/>
                <w:color w:val="auto"/>
              </w:rPr>
            </w:pPr>
          </w:p>
        </w:tc>
      </w:tr>
      <w:tr>
        <w:trPr>
          <w:trHeight w:val="243"/>
        </w:trPr>
        <w:tc>
          <w:tcPr>
            <w:tcW w:w="66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Total current and non-current:</w:t>
            </w:r>
          </w:p>
        </w:tc>
        <w:tc>
          <w:tcPr>
            <w:tcW w:w="160" w:type="dxa"/>
            <w:vAlign w:val="bottom"/>
            <w:shd w:val="clear" w:color="auto" w:fill="CFF0FC"/>
          </w:tcPr>
          <w:p>
            <w:pPr>
              <w:spacing w:after="0"/>
              <w:rPr>
                <w:sz w:val="21"/>
                <w:szCs w:val="21"/>
                <w:color w:val="auto"/>
              </w:rPr>
            </w:pPr>
          </w:p>
        </w:tc>
        <w:tc>
          <w:tcPr>
            <w:tcW w:w="11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1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16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409</w:t>
            </w:r>
          </w:p>
        </w:tc>
        <w:tc>
          <w:tcPr>
            <w:tcW w:w="4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40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2,823</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66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6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77,537</w:t>
            </w:r>
          </w:p>
        </w:tc>
        <w:tc>
          <w:tcPr>
            <w:tcW w:w="240" w:type="dxa"/>
            <w:vAlign w:val="bottom"/>
            <w:shd w:val="clear" w:color="auto" w:fill="CFF0FC"/>
          </w:tcPr>
          <w:p>
            <w:pPr>
              <w:spacing w:after="0"/>
              <w:rPr>
                <w:sz w:val="21"/>
                <w:szCs w:val="21"/>
                <w:color w:val="auto"/>
              </w:rPr>
            </w:pPr>
          </w:p>
        </w:tc>
        <w:tc>
          <w:tcPr>
            <w:tcW w:w="180" w:type="dxa"/>
            <w:vAlign w:val="bottom"/>
            <w:shd w:val="clear" w:color="auto" w:fill="CFF0FC"/>
          </w:tcPr>
          <w:p>
            <w:pPr>
              <w:spacing w:after="0"/>
              <w:rPr>
                <w:sz w:val="21"/>
                <w:szCs w:val="21"/>
                <w:color w:val="auto"/>
              </w:rPr>
            </w:pP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68,609</w:t>
            </w:r>
          </w:p>
        </w:tc>
        <w:tc>
          <w:tcPr>
            <w:tcW w:w="24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48,582</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66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6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109,501</w:t>
            </w: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156,996</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130,391</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668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60" w:type="dxa"/>
            <w:vAlign w:val="bottom"/>
            <w:tcBorders>
              <w:bottom w:val="single" w:sz="8" w:color="auto"/>
            </w:tcBorders>
            <w:shd w:val="clear" w:color="auto" w:fill="CFF0FC"/>
          </w:tcPr>
          <w:p>
            <w:pPr>
              <w:spacing w:after="0"/>
              <w:rPr>
                <w:sz w:val="21"/>
                <w:szCs w:val="21"/>
                <w:color w:val="auto"/>
              </w:rPr>
            </w:pPr>
          </w:p>
        </w:tc>
        <w:tc>
          <w:tcPr>
            <w:tcW w:w="1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3,299</w:t>
            </w:r>
          </w:p>
        </w:tc>
        <w:tc>
          <w:tcPr>
            <w:tcW w:w="24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auto"/>
            </w:tcBorders>
            <w:shd w:val="clear" w:color="auto" w:fill="CFF0FC"/>
          </w:tcPr>
          <w:p>
            <w:pPr>
              <w:spacing w:after="0"/>
              <w:rPr>
                <w:sz w:val="21"/>
                <w:szCs w:val="21"/>
                <w:color w:val="auto"/>
              </w:rPr>
            </w:pPr>
          </w:p>
        </w:tc>
        <w:tc>
          <w:tcPr>
            <w:tcW w:w="1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7,502</w:t>
            </w:r>
          </w:p>
        </w:tc>
        <w:tc>
          <w:tcPr>
            <w:tcW w:w="240" w:type="dxa"/>
            <w:vAlign w:val="bottom"/>
            <w:tcBorders>
              <w:bottom w:val="single" w:sz="8" w:color="CFF0FC"/>
            </w:tcBorders>
            <w:shd w:val="clear" w:color="auto" w:fill="CFF0FC"/>
          </w:tcPr>
          <w:p>
            <w:pPr>
              <w:spacing w:after="0"/>
              <w:rPr>
                <w:sz w:val="21"/>
                <w:szCs w:val="21"/>
                <w:color w:val="auto"/>
              </w:rPr>
            </w:pPr>
          </w:p>
        </w:tc>
        <w:tc>
          <w:tcPr>
            <w:tcW w:w="160" w:type="dxa"/>
            <w:vAlign w:val="bottom"/>
            <w:tcBorders>
              <w:bottom w:val="single" w:sz="8" w:color="auto"/>
            </w:tcBorders>
            <w:shd w:val="clear" w:color="auto" w:fill="CFF0FC"/>
          </w:tcPr>
          <w:p>
            <w:pPr>
              <w:spacing w:after="0"/>
              <w:rPr>
                <w:sz w:val="21"/>
                <w:szCs w:val="21"/>
                <w:color w:val="auto"/>
              </w:rPr>
            </w:pPr>
          </w:p>
        </w:tc>
        <w:tc>
          <w:tcPr>
            <w:tcW w:w="1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5,009</w:t>
            </w: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4"/>
        </w:trPr>
        <w:tc>
          <w:tcPr>
            <w:tcW w:w="120" w:type="dxa"/>
            <w:vAlign w:val="bottom"/>
          </w:tcPr>
          <w:p>
            <w:pPr>
              <w:spacing w:after="0"/>
              <w:rPr>
                <w:sz w:val="20"/>
                <w:szCs w:val="20"/>
                <w:color w:val="auto"/>
              </w:rPr>
            </w:pPr>
          </w:p>
        </w:tc>
        <w:tc>
          <w:tcPr>
            <w:tcW w:w="65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current and non-current deferred revenue and advance payments</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190,746</w:t>
            </w:r>
          </w:p>
        </w:tc>
        <w:tc>
          <w:tcPr>
            <w:tcW w:w="4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236,686</w:t>
            </w:r>
          </w:p>
        </w:tc>
        <w:tc>
          <w:tcPr>
            <w:tcW w:w="40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186,805</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0"/>
        </w:trPr>
        <w:tc>
          <w:tcPr>
            <w:tcW w:w="120" w:type="dxa"/>
            <w:vAlign w:val="bottom"/>
            <w:vMerge w:val="restart"/>
          </w:tcPr>
          <w:p>
            <w:pPr>
              <w:spacing w:after="0"/>
              <w:rPr>
                <w:sz w:val="20"/>
                <w:szCs w:val="20"/>
                <w:color w:val="auto"/>
              </w:rPr>
            </w:pPr>
            <w:r>
              <w:rPr>
                <w:rFonts w:ascii="Times New Roman" w:cs="Times New Roman" w:eastAsia="Times New Roman" w:hAnsi="Times New Roman"/>
                <w:sz w:val="18"/>
                <w:szCs w:val="18"/>
                <w:color w:val="auto"/>
              </w:rPr>
              <w:t>*</w:t>
            </w:r>
          </w:p>
        </w:tc>
        <w:tc>
          <w:tcPr>
            <w:tcW w:w="6560" w:type="dxa"/>
            <w:vAlign w:val="bottom"/>
            <w:vMerge w:val="restart"/>
          </w:tcPr>
          <w:p>
            <w:pPr>
              <w:ind w:left="240"/>
              <w:spacing w:after="0"/>
              <w:rPr>
                <w:sz w:val="20"/>
                <w:szCs w:val="20"/>
                <w:color w:val="auto"/>
              </w:rPr>
            </w:pPr>
            <w:r>
              <w:rPr>
                <w:rFonts w:ascii="Times New Roman" w:cs="Times New Roman" w:eastAsia="Times New Roman" w:hAnsi="Times New Roman"/>
                <w:sz w:val="18"/>
                <w:szCs w:val="18"/>
                <w:color w:val="auto"/>
              </w:rPr>
              <w:t>Derived from audited financial statements.</w:t>
            </w:r>
          </w:p>
        </w:tc>
        <w:tc>
          <w:tcPr>
            <w:tcW w:w="160" w:type="dxa"/>
            <w:vAlign w:val="bottom"/>
            <w:tcBorders>
              <w:top w:val="single" w:sz="8" w:color="auto"/>
              <w:bottom w:val="single" w:sz="8" w:color="auto"/>
            </w:tcBorders>
          </w:tcPr>
          <w:p>
            <w:pPr>
              <w:spacing w:after="0" w:line="20" w:lineRule="exact"/>
              <w:rPr>
                <w:sz w:val="1"/>
                <w:szCs w:val="1"/>
                <w:color w:val="auto"/>
              </w:rPr>
            </w:pPr>
          </w:p>
        </w:tc>
        <w:tc>
          <w:tcPr>
            <w:tcW w:w="11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11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1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419"/>
        </w:trPr>
        <w:tc>
          <w:tcPr>
            <w:tcW w:w="120" w:type="dxa"/>
            <w:vAlign w:val="bottom"/>
            <w:vMerge w:val="continue"/>
          </w:tcPr>
          <w:p>
            <w:pPr>
              <w:spacing w:after="0"/>
              <w:rPr>
                <w:sz w:val="24"/>
                <w:szCs w:val="24"/>
                <w:color w:val="auto"/>
              </w:rPr>
            </w:pPr>
          </w:p>
        </w:tc>
        <w:tc>
          <w:tcPr>
            <w:tcW w:w="6560" w:type="dxa"/>
            <w:vAlign w:val="bottom"/>
            <w:vMerge w:val="continue"/>
          </w:tcPr>
          <w:p>
            <w:pPr>
              <w:spacing w:after="0"/>
              <w:rPr>
                <w:sz w:val="24"/>
                <w:szCs w:val="24"/>
                <w:color w:val="auto"/>
              </w:rPr>
            </w:pPr>
          </w:p>
        </w:tc>
        <w:tc>
          <w:tcPr>
            <w:tcW w:w="160" w:type="dxa"/>
            <w:vAlign w:val="bottom"/>
          </w:tcPr>
          <w:p>
            <w:pPr>
              <w:spacing w:after="0"/>
              <w:rPr>
                <w:sz w:val="24"/>
                <w:szCs w:val="24"/>
                <w:color w:val="auto"/>
              </w:rPr>
            </w:pPr>
          </w:p>
        </w:tc>
        <w:tc>
          <w:tcPr>
            <w:tcW w:w="11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14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1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006"/>
        </w:trPr>
        <w:tc>
          <w:tcPr>
            <w:tcW w:w="120" w:type="dxa"/>
            <w:vAlign w:val="bottom"/>
            <w:tcBorders>
              <w:bottom w:val="single" w:sz="8" w:color="9A9A9A"/>
            </w:tcBorders>
          </w:tcPr>
          <w:p>
            <w:pPr>
              <w:spacing w:after="0"/>
              <w:rPr>
                <w:sz w:val="24"/>
                <w:szCs w:val="24"/>
                <w:color w:val="auto"/>
              </w:rPr>
            </w:pPr>
          </w:p>
        </w:tc>
        <w:tc>
          <w:tcPr>
            <w:tcW w:w="65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1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114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1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5088255</wp:posOffset>
            </wp:positionH>
            <wp:positionV relativeFrom="paragraph">
              <wp:posOffset>-3342640</wp:posOffset>
            </wp:positionV>
            <wp:extent cx="76835" cy="8255"/>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6082665</wp:posOffset>
            </wp:positionH>
            <wp:positionV relativeFrom="paragraph">
              <wp:posOffset>-3342640</wp:posOffset>
            </wp:positionV>
            <wp:extent cx="68580" cy="8255"/>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-3342640</wp:posOffset>
            </wp:positionV>
            <wp:extent cx="68580" cy="8255"/>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5088255</wp:posOffset>
            </wp:positionH>
            <wp:positionV relativeFrom="paragraph">
              <wp:posOffset>-2065655</wp:posOffset>
            </wp:positionV>
            <wp:extent cx="76835" cy="889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5088255</wp:posOffset>
            </wp:positionH>
            <wp:positionV relativeFrom="paragraph">
              <wp:posOffset>-2047875</wp:posOffset>
            </wp:positionV>
            <wp:extent cx="76835" cy="8255"/>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6082665</wp:posOffset>
            </wp:positionH>
            <wp:positionV relativeFrom="paragraph">
              <wp:posOffset>-2065655</wp:posOffset>
            </wp:positionV>
            <wp:extent cx="68580" cy="889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6082665</wp:posOffset>
            </wp:positionH>
            <wp:positionV relativeFrom="paragraph">
              <wp:posOffset>-2047875</wp:posOffset>
            </wp:positionV>
            <wp:extent cx="68580" cy="8255"/>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-2065655</wp:posOffset>
            </wp:positionV>
            <wp:extent cx="68580" cy="889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-2047875</wp:posOffset>
            </wp:positionV>
            <wp:extent cx="68580" cy="8255"/>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5088255</wp:posOffset>
            </wp:positionH>
            <wp:positionV relativeFrom="paragraph">
              <wp:posOffset>-1113790</wp:posOffset>
            </wp:positionV>
            <wp:extent cx="76835" cy="825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6082665</wp:posOffset>
            </wp:positionH>
            <wp:positionV relativeFrom="paragraph">
              <wp:posOffset>-1113790</wp:posOffset>
            </wp:positionV>
            <wp:extent cx="68580" cy="8255"/>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-1113790</wp:posOffset>
            </wp:positionV>
            <wp:extent cx="68580" cy="8255"/>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6" w:name="page17"/>
    <w:bookmarkEnd w:id="16"/>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SEGMENT INFORMATION</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unaudited)</w:t>
      </w:r>
    </w:p>
    <w:p>
      <w:pPr>
        <w:spacing w:after="0" w:line="281"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33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3880" w:type="dxa"/>
            <w:vAlign w:val="bottom"/>
            <w:gridSpan w:val="8"/>
          </w:tcPr>
          <w:p>
            <w:pPr>
              <w:jc w:val="center"/>
              <w:ind w:right="420"/>
              <w:spacing w:after="0"/>
              <w:rPr>
                <w:sz w:val="20"/>
                <w:szCs w:val="20"/>
                <w:color w:val="auto"/>
              </w:rPr>
            </w:pPr>
            <w:r>
              <w:rPr>
                <w:rFonts w:ascii="Times New Roman" w:cs="Times New Roman" w:eastAsia="Times New Roman" w:hAnsi="Times New Roman"/>
                <w:sz w:val="14"/>
                <w:szCs w:val="14"/>
                <w:b w:val="1"/>
                <w:bCs w:val="1"/>
                <w:color w:val="auto"/>
              </w:rPr>
              <w:t>Three Months Ended September 30, 2024</w:t>
            </w:r>
          </w:p>
        </w:tc>
        <w:tc>
          <w:tcPr>
            <w:tcW w:w="180" w:type="dxa"/>
            <w:vAlign w:val="bottom"/>
          </w:tcPr>
          <w:p>
            <w:pPr>
              <w:spacing w:after="0"/>
              <w:rPr>
                <w:sz w:val="16"/>
                <w:szCs w:val="16"/>
                <w:color w:val="auto"/>
              </w:rPr>
            </w:pPr>
          </w:p>
        </w:tc>
        <w:tc>
          <w:tcPr>
            <w:tcW w:w="3680" w:type="dxa"/>
            <w:vAlign w:val="bottom"/>
            <w:gridSpan w:val="8"/>
          </w:tcPr>
          <w:p>
            <w:pPr>
              <w:jc w:val="center"/>
              <w:ind w:right="300"/>
              <w:spacing w:after="0"/>
              <w:rPr>
                <w:sz w:val="20"/>
                <w:szCs w:val="20"/>
                <w:color w:val="auto"/>
              </w:rPr>
            </w:pPr>
            <w:r>
              <w:rPr>
                <w:rFonts w:ascii="Times New Roman" w:cs="Times New Roman" w:eastAsia="Times New Roman" w:hAnsi="Times New Roman"/>
                <w:sz w:val="14"/>
                <w:szCs w:val="14"/>
                <w:b w:val="1"/>
                <w:bCs w:val="1"/>
                <w:color w:val="auto"/>
              </w:rPr>
              <w:t>Three Months Ended September 30, 2023</w:t>
            </w:r>
          </w:p>
        </w:tc>
      </w:tr>
      <w:tr>
        <w:trPr>
          <w:trHeight w:val="131"/>
        </w:trPr>
        <w:tc>
          <w:tcPr>
            <w:tcW w:w="3300" w:type="dxa"/>
            <w:vAlign w:val="bottom"/>
          </w:tcPr>
          <w:p>
            <w:pPr>
              <w:spacing w:after="0"/>
              <w:rPr>
                <w:sz w:val="11"/>
                <w:szCs w:val="11"/>
                <w:color w:val="auto"/>
              </w:rPr>
            </w:pPr>
          </w:p>
        </w:tc>
        <w:tc>
          <w:tcPr>
            <w:tcW w:w="200" w:type="dxa"/>
            <w:vAlign w:val="bottom"/>
            <w:tcBorders>
              <w:top w:val="single" w:sz="8" w:color="auto"/>
            </w:tcBorders>
          </w:tcPr>
          <w:p>
            <w:pPr>
              <w:spacing w:after="0"/>
              <w:rPr>
                <w:sz w:val="11"/>
                <w:szCs w:val="11"/>
                <w:color w:val="auto"/>
              </w:rPr>
            </w:pPr>
          </w:p>
        </w:tc>
        <w:tc>
          <w:tcPr>
            <w:tcW w:w="1180" w:type="dxa"/>
            <w:vAlign w:val="bottom"/>
            <w:tcBorders>
              <w:top w:val="single" w:sz="8" w:color="auto"/>
            </w:tcBorders>
            <w:gridSpan w:val="2"/>
          </w:tcPr>
          <w:p>
            <w:pPr>
              <w:jc w:val="center"/>
              <w:ind w:right="480"/>
              <w:spacing w:after="0" w:line="131" w:lineRule="exact"/>
              <w:rPr>
                <w:sz w:val="20"/>
                <w:szCs w:val="20"/>
                <w:color w:val="auto"/>
              </w:rPr>
            </w:pPr>
            <w:r>
              <w:rPr>
                <w:rFonts w:ascii="Times New Roman" w:cs="Times New Roman" w:eastAsia="Times New Roman" w:hAnsi="Times New Roman"/>
                <w:sz w:val="14"/>
                <w:szCs w:val="14"/>
                <w:b w:val="1"/>
                <w:bCs w:val="1"/>
                <w:color w:val="auto"/>
              </w:rPr>
              <w:t>Software</w:t>
            </w:r>
          </w:p>
        </w:tc>
        <w:tc>
          <w:tcPr>
            <w:tcW w:w="120" w:type="dxa"/>
            <w:vAlign w:val="bottom"/>
            <w:tcBorders>
              <w:top w:val="single" w:sz="8" w:color="auto"/>
            </w:tcBorders>
          </w:tcPr>
          <w:p>
            <w:pPr>
              <w:spacing w:after="0"/>
              <w:rPr>
                <w:sz w:val="11"/>
                <w:szCs w:val="11"/>
                <w:color w:val="auto"/>
              </w:rPr>
            </w:pPr>
          </w:p>
        </w:tc>
        <w:tc>
          <w:tcPr>
            <w:tcW w:w="1260" w:type="dxa"/>
            <w:vAlign w:val="bottom"/>
            <w:tcBorders>
              <w:top w:val="single" w:sz="8" w:color="auto"/>
            </w:tcBorders>
            <w:gridSpan w:val="2"/>
          </w:tcPr>
          <w:p>
            <w:pPr>
              <w:jc w:val="center"/>
              <w:ind w:right="400"/>
              <w:spacing w:after="0" w:line="131" w:lineRule="exact"/>
              <w:rPr>
                <w:sz w:val="20"/>
                <w:szCs w:val="20"/>
                <w:color w:val="auto"/>
              </w:rPr>
            </w:pPr>
            <w:r>
              <w:rPr>
                <w:rFonts w:ascii="Times New Roman" w:cs="Times New Roman" w:eastAsia="Times New Roman" w:hAnsi="Times New Roman"/>
                <w:sz w:val="14"/>
                <w:szCs w:val="14"/>
                <w:b w:val="1"/>
                <w:bCs w:val="1"/>
                <w:color w:val="auto"/>
              </w:rPr>
              <w:t>Corporate &amp;</w:t>
            </w:r>
          </w:p>
        </w:tc>
        <w:tc>
          <w:tcPr>
            <w:tcW w:w="120" w:type="dxa"/>
            <w:vAlign w:val="bottom"/>
            <w:tcBorders>
              <w:top w:val="single" w:sz="8" w:color="auto"/>
            </w:tcBorders>
          </w:tcPr>
          <w:p>
            <w:pPr>
              <w:spacing w:after="0"/>
              <w:rPr>
                <w:sz w:val="11"/>
                <w:szCs w:val="11"/>
                <w:color w:val="auto"/>
              </w:rPr>
            </w:pPr>
          </w:p>
        </w:tc>
        <w:tc>
          <w:tcPr>
            <w:tcW w:w="980" w:type="dxa"/>
            <w:vAlign w:val="bottom"/>
            <w:tcBorders>
              <w:top w:val="single" w:sz="8" w:color="auto"/>
            </w:tcBorders>
          </w:tcPr>
          <w:p>
            <w:pPr>
              <w:jc w:val="center"/>
              <w:ind w:right="75"/>
              <w:spacing w:after="0" w:line="131" w:lineRule="exact"/>
              <w:rPr>
                <w:sz w:val="20"/>
                <w:szCs w:val="20"/>
                <w:color w:val="auto"/>
              </w:rPr>
            </w:pPr>
            <w:r>
              <w:rPr>
                <w:rFonts w:ascii="Times New Roman" w:cs="Times New Roman" w:eastAsia="Times New Roman" w:hAnsi="Times New Roman"/>
                <w:sz w:val="14"/>
                <w:szCs w:val="14"/>
                <w:b w:val="1"/>
                <w:bCs w:val="1"/>
                <w:color w:val="auto"/>
                <w:w w:val="93"/>
              </w:rPr>
              <w:t>Total</w:t>
            </w:r>
          </w:p>
        </w:tc>
        <w:tc>
          <w:tcPr>
            <w:tcW w:w="220" w:type="dxa"/>
            <w:vAlign w:val="bottom"/>
          </w:tcPr>
          <w:p>
            <w:pPr>
              <w:spacing w:after="0"/>
              <w:rPr>
                <w:sz w:val="11"/>
                <w:szCs w:val="11"/>
                <w:color w:val="auto"/>
              </w:rPr>
            </w:pPr>
          </w:p>
        </w:tc>
        <w:tc>
          <w:tcPr>
            <w:tcW w:w="180" w:type="dxa"/>
            <w:vAlign w:val="bottom"/>
            <w:tcBorders>
              <w:top w:val="single" w:sz="8" w:color="auto"/>
            </w:tcBorders>
          </w:tcPr>
          <w:p>
            <w:pPr>
              <w:spacing w:after="0"/>
              <w:rPr>
                <w:sz w:val="11"/>
                <w:szCs w:val="11"/>
                <w:color w:val="auto"/>
              </w:rPr>
            </w:pPr>
          </w:p>
        </w:tc>
        <w:tc>
          <w:tcPr>
            <w:tcW w:w="920" w:type="dxa"/>
            <w:vAlign w:val="bottom"/>
            <w:tcBorders>
              <w:top w:val="single" w:sz="8" w:color="auto"/>
            </w:tcBorders>
          </w:tcPr>
          <w:p>
            <w:pPr>
              <w:jc w:val="center"/>
              <w:ind w:right="137"/>
              <w:spacing w:after="0" w:line="131" w:lineRule="exact"/>
              <w:rPr>
                <w:sz w:val="20"/>
                <w:szCs w:val="20"/>
                <w:color w:val="auto"/>
              </w:rPr>
            </w:pPr>
            <w:r>
              <w:rPr>
                <w:rFonts w:ascii="Times New Roman" w:cs="Times New Roman" w:eastAsia="Times New Roman" w:hAnsi="Times New Roman"/>
                <w:sz w:val="14"/>
                <w:szCs w:val="14"/>
                <w:b w:val="1"/>
                <w:bCs w:val="1"/>
                <w:color w:val="auto"/>
              </w:rPr>
              <w:t>Software</w:t>
            </w:r>
          </w:p>
        </w:tc>
        <w:tc>
          <w:tcPr>
            <w:tcW w:w="220" w:type="dxa"/>
            <w:vAlign w:val="bottom"/>
            <w:tcBorders>
              <w:top w:val="single" w:sz="8" w:color="auto"/>
            </w:tcBorders>
          </w:tcPr>
          <w:p>
            <w:pPr>
              <w:spacing w:after="0"/>
              <w:rPr>
                <w:sz w:val="11"/>
                <w:szCs w:val="11"/>
                <w:color w:val="auto"/>
              </w:rPr>
            </w:pPr>
          </w:p>
        </w:tc>
        <w:tc>
          <w:tcPr>
            <w:tcW w:w="120" w:type="dxa"/>
            <w:vAlign w:val="bottom"/>
            <w:tcBorders>
              <w:top w:val="single" w:sz="8" w:color="auto"/>
            </w:tcBorders>
          </w:tcPr>
          <w:p>
            <w:pPr>
              <w:spacing w:after="0"/>
              <w:rPr>
                <w:sz w:val="11"/>
                <w:szCs w:val="11"/>
                <w:color w:val="auto"/>
              </w:rPr>
            </w:pPr>
          </w:p>
        </w:tc>
        <w:tc>
          <w:tcPr>
            <w:tcW w:w="1200" w:type="dxa"/>
            <w:vAlign w:val="bottom"/>
            <w:tcBorders>
              <w:top w:val="single" w:sz="8" w:color="auto"/>
            </w:tcBorders>
            <w:gridSpan w:val="2"/>
          </w:tcPr>
          <w:p>
            <w:pPr>
              <w:jc w:val="center"/>
              <w:ind w:right="360"/>
              <w:spacing w:after="0" w:line="131" w:lineRule="exact"/>
              <w:rPr>
                <w:sz w:val="20"/>
                <w:szCs w:val="20"/>
                <w:color w:val="auto"/>
              </w:rPr>
            </w:pPr>
            <w:r>
              <w:rPr>
                <w:rFonts w:ascii="Times New Roman" w:cs="Times New Roman" w:eastAsia="Times New Roman" w:hAnsi="Times New Roman"/>
                <w:sz w:val="14"/>
                <w:szCs w:val="14"/>
                <w:b w:val="1"/>
                <w:bCs w:val="1"/>
                <w:color w:val="auto"/>
              </w:rPr>
              <w:t>Corporate &amp;</w:t>
            </w:r>
          </w:p>
        </w:tc>
        <w:tc>
          <w:tcPr>
            <w:tcW w:w="140" w:type="dxa"/>
            <w:vAlign w:val="bottom"/>
            <w:tcBorders>
              <w:top w:val="single" w:sz="8" w:color="auto"/>
            </w:tcBorders>
          </w:tcPr>
          <w:p>
            <w:pPr>
              <w:spacing w:after="0"/>
              <w:rPr>
                <w:sz w:val="11"/>
                <w:szCs w:val="11"/>
                <w:color w:val="auto"/>
              </w:rPr>
            </w:pPr>
          </w:p>
        </w:tc>
        <w:tc>
          <w:tcPr>
            <w:tcW w:w="980" w:type="dxa"/>
            <w:vAlign w:val="bottom"/>
            <w:tcBorders>
              <w:top w:val="single" w:sz="8" w:color="auto"/>
            </w:tcBorders>
          </w:tcPr>
          <w:p>
            <w:pPr>
              <w:jc w:val="center"/>
              <w:ind w:right="95"/>
              <w:spacing w:after="0" w:line="131" w:lineRule="exact"/>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tcPr>
          <w:p>
            <w:pPr>
              <w:spacing w:after="0"/>
              <w:rPr>
                <w:sz w:val="11"/>
                <w:szCs w:val="11"/>
                <w:color w:val="auto"/>
              </w:rPr>
            </w:pPr>
          </w:p>
        </w:tc>
      </w:tr>
      <w:tr>
        <w:trPr>
          <w:trHeight w:val="187"/>
        </w:trPr>
        <w:tc>
          <w:tcPr>
            <w:tcW w:w="33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1180" w:type="dxa"/>
            <w:vAlign w:val="bottom"/>
            <w:gridSpan w:val="2"/>
          </w:tcPr>
          <w:p>
            <w:pPr>
              <w:jc w:val="center"/>
              <w:ind w:right="440"/>
              <w:spacing w:after="0"/>
              <w:rPr>
                <w:sz w:val="20"/>
                <w:szCs w:val="20"/>
                <w:color w:val="auto"/>
              </w:rPr>
            </w:pPr>
            <w:r>
              <w:rPr>
                <w:rFonts w:ascii="Times New Roman" w:cs="Times New Roman" w:eastAsia="Times New Roman" w:hAnsi="Times New Roman"/>
                <w:sz w:val="14"/>
                <w:szCs w:val="14"/>
                <w:b w:val="1"/>
                <w:bCs w:val="1"/>
                <w:color w:val="auto"/>
              </w:rPr>
              <w:t>Business</w:t>
            </w:r>
          </w:p>
        </w:tc>
        <w:tc>
          <w:tcPr>
            <w:tcW w:w="120" w:type="dxa"/>
            <w:vAlign w:val="bottom"/>
          </w:tcPr>
          <w:p>
            <w:pPr>
              <w:spacing w:after="0"/>
              <w:rPr>
                <w:sz w:val="16"/>
                <w:szCs w:val="16"/>
                <w:color w:val="auto"/>
              </w:rPr>
            </w:pPr>
          </w:p>
        </w:tc>
        <w:tc>
          <w:tcPr>
            <w:tcW w:w="1260" w:type="dxa"/>
            <w:vAlign w:val="bottom"/>
            <w:gridSpan w:val="2"/>
          </w:tcPr>
          <w:p>
            <w:pPr>
              <w:jc w:val="center"/>
              <w:ind w:right="380"/>
              <w:spacing w:after="0"/>
              <w:rPr>
                <w:sz w:val="20"/>
                <w:szCs w:val="20"/>
                <w:color w:val="auto"/>
              </w:rPr>
            </w:pPr>
            <w:r>
              <w:rPr>
                <w:rFonts w:ascii="Times New Roman" w:cs="Times New Roman" w:eastAsia="Times New Roman" w:hAnsi="Times New Roman"/>
                <w:sz w:val="14"/>
                <w:szCs w:val="14"/>
                <w:b w:val="1"/>
                <w:bCs w:val="1"/>
                <w:color w:val="auto"/>
              </w:rPr>
              <w:t>Other</w:t>
            </w:r>
          </w:p>
        </w:tc>
        <w:tc>
          <w:tcPr>
            <w:tcW w:w="120" w:type="dxa"/>
            <w:vAlign w:val="bottom"/>
          </w:tcPr>
          <w:p>
            <w:pPr>
              <w:spacing w:after="0"/>
              <w:rPr>
                <w:sz w:val="16"/>
                <w:szCs w:val="16"/>
                <w:color w:val="auto"/>
              </w:rPr>
            </w:pPr>
          </w:p>
        </w:tc>
        <w:tc>
          <w:tcPr>
            <w:tcW w:w="1200" w:type="dxa"/>
            <w:vAlign w:val="bottom"/>
            <w:gridSpan w:val="2"/>
          </w:tcPr>
          <w:p>
            <w:pPr>
              <w:jc w:val="center"/>
              <w:ind w:right="340"/>
              <w:spacing w:after="0"/>
              <w:rPr>
                <w:sz w:val="20"/>
                <w:szCs w:val="20"/>
                <w:color w:val="auto"/>
              </w:rPr>
            </w:pPr>
            <w:r>
              <w:rPr>
                <w:rFonts w:ascii="Times New Roman" w:cs="Times New Roman" w:eastAsia="Times New Roman" w:hAnsi="Times New Roman"/>
                <w:sz w:val="14"/>
                <w:szCs w:val="14"/>
                <w:b w:val="1"/>
                <w:bCs w:val="1"/>
                <w:color w:val="auto"/>
              </w:rPr>
              <w:t>Consolidated</w:t>
            </w:r>
          </w:p>
        </w:tc>
        <w:tc>
          <w:tcPr>
            <w:tcW w:w="180" w:type="dxa"/>
            <w:vAlign w:val="bottom"/>
          </w:tcPr>
          <w:p>
            <w:pPr>
              <w:spacing w:after="0"/>
              <w:rPr>
                <w:sz w:val="16"/>
                <w:szCs w:val="16"/>
                <w:color w:val="auto"/>
              </w:rPr>
            </w:pPr>
          </w:p>
        </w:tc>
        <w:tc>
          <w:tcPr>
            <w:tcW w:w="920" w:type="dxa"/>
            <w:vAlign w:val="bottom"/>
          </w:tcPr>
          <w:p>
            <w:pPr>
              <w:jc w:val="center"/>
              <w:ind w:right="97"/>
              <w:spacing w:after="0"/>
              <w:rPr>
                <w:sz w:val="20"/>
                <w:szCs w:val="20"/>
                <w:color w:val="auto"/>
              </w:rPr>
            </w:pPr>
            <w:r>
              <w:rPr>
                <w:rFonts w:ascii="Times New Roman" w:cs="Times New Roman" w:eastAsia="Times New Roman" w:hAnsi="Times New Roman"/>
                <w:sz w:val="14"/>
                <w:szCs w:val="14"/>
                <w:b w:val="1"/>
                <w:bCs w:val="1"/>
                <w:color w:val="auto"/>
              </w:rPr>
              <w:t>Business</w:t>
            </w:r>
          </w:p>
        </w:tc>
        <w:tc>
          <w:tcPr>
            <w:tcW w:w="22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1200" w:type="dxa"/>
            <w:vAlign w:val="bottom"/>
            <w:gridSpan w:val="2"/>
          </w:tcPr>
          <w:p>
            <w:pPr>
              <w:jc w:val="center"/>
              <w:ind w:right="320"/>
              <w:spacing w:after="0"/>
              <w:rPr>
                <w:sz w:val="20"/>
                <w:szCs w:val="20"/>
                <w:color w:val="auto"/>
              </w:rPr>
            </w:pPr>
            <w:r>
              <w:rPr>
                <w:rFonts w:ascii="Times New Roman" w:cs="Times New Roman" w:eastAsia="Times New Roman" w:hAnsi="Times New Roman"/>
                <w:sz w:val="14"/>
                <w:szCs w:val="14"/>
                <w:b w:val="1"/>
                <w:bCs w:val="1"/>
                <w:color w:val="auto"/>
              </w:rPr>
              <w:t>Other</w:t>
            </w:r>
          </w:p>
        </w:tc>
        <w:tc>
          <w:tcPr>
            <w:tcW w:w="140" w:type="dxa"/>
            <w:vAlign w:val="bottom"/>
          </w:tcPr>
          <w:p>
            <w:pPr>
              <w:spacing w:after="0"/>
              <w:rPr>
                <w:sz w:val="16"/>
                <w:szCs w:val="16"/>
                <w:color w:val="auto"/>
              </w:rPr>
            </w:pPr>
          </w:p>
        </w:tc>
        <w:tc>
          <w:tcPr>
            <w:tcW w:w="1080" w:type="dxa"/>
            <w:vAlign w:val="bottom"/>
            <w:gridSpan w:val="2"/>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Consolidated</w:t>
            </w:r>
          </w:p>
        </w:tc>
      </w:tr>
      <w:tr>
        <w:trPr>
          <w:trHeight w:val="236"/>
        </w:trPr>
        <w:tc>
          <w:tcPr>
            <w:tcW w:w="33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116,071</w:t>
            </w:r>
          </w:p>
        </w:tc>
        <w:tc>
          <w:tcPr>
            <w:tcW w:w="240" w:type="dxa"/>
            <w:vAlign w:val="bottom"/>
            <w:shd w:val="clear" w:color="auto" w:fill="CFF0FC"/>
          </w:tcPr>
          <w:p>
            <w:pPr>
              <w:spacing w:after="0"/>
              <w:rPr>
                <w:sz w:val="20"/>
                <w:szCs w:val="20"/>
                <w:color w:val="auto"/>
              </w:rPr>
            </w:pPr>
          </w:p>
        </w:tc>
        <w:tc>
          <w:tcPr>
            <w:tcW w:w="120" w:type="dxa"/>
            <w:vAlign w:val="bottom"/>
            <w:tcBorders>
              <w:top w:val="single" w:sz="8" w:color="auto"/>
            </w:tcBorders>
            <w:shd w:val="clear" w:color="auto" w:fill="CFF0FC"/>
          </w:tcPr>
          <w:p>
            <w:pPr>
              <w:spacing w:after="0"/>
              <w:rPr>
                <w:sz w:val="20"/>
                <w:szCs w:val="20"/>
                <w:color w:val="auto"/>
              </w:rPr>
            </w:pPr>
          </w:p>
        </w:tc>
        <w:tc>
          <w:tcPr>
            <w:tcW w:w="102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2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116,071</w:t>
            </w:r>
          </w:p>
        </w:tc>
        <w:tc>
          <w:tcPr>
            <w:tcW w:w="220" w:type="dxa"/>
            <w:vAlign w:val="bottom"/>
            <w:shd w:val="clear" w:color="auto" w:fill="CFF0FC"/>
          </w:tcPr>
          <w:p>
            <w:pPr>
              <w:spacing w:after="0"/>
              <w:rPr>
                <w:sz w:val="20"/>
                <w:szCs w:val="20"/>
                <w:color w:val="auto"/>
              </w:rPr>
            </w:pPr>
          </w:p>
        </w:tc>
        <w:tc>
          <w:tcPr>
            <w:tcW w:w="1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129,462</w:t>
            </w:r>
          </w:p>
        </w:tc>
        <w:tc>
          <w:tcPr>
            <w:tcW w:w="220" w:type="dxa"/>
            <w:vAlign w:val="bottom"/>
            <w:shd w:val="clear" w:color="auto" w:fill="CFF0FC"/>
          </w:tcPr>
          <w:p>
            <w:pPr>
              <w:spacing w:after="0"/>
              <w:rPr>
                <w:sz w:val="20"/>
                <w:szCs w:val="20"/>
                <w:color w:val="auto"/>
              </w:rPr>
            </w:pPr>
          </w:p>
        </w:tc>
        <w:tc>
          <w:tcPr>
            <w:tcW w:w="120" w:type="dxa"/>
            <w:vAlign w:val="bottom"/>
            <w:tcBorders>
              <w:top w:val="single" w:sz="8" w:color="auto"/>
            </w:tcBorders>
            <w:shd w:val="clear" w:color="auto" w:fill="CFF0FC"/>
          </w:tcPr>
          <w:p>
            <w:pPr>
              <w:spacing w:after="0"/>
              <w:rPr>
                <w:sz w:val="20"/>
                <w:szCs w:val="20"/>
                <w:color w:val="auto"/>
              </w:rPr>
            </w:pPr>
          </w:p>
        </w:tc>
        <w:tc>
          <w:tcPr>
            <w:tcW w:w="98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129,462</w:t>
            </w:r>
          </w:p>
        </w:tc>
        <w:tc>
          <w:tcPr>
            <w:tcW w:w="100" w:type="dxa"/>
            <w:vAlign w:val="bottom"/>
            <w:shd w:val="clear" w:color="auto" w:fill="CFF0FC"/>
          </w:tcPr>
          <w:p>
            <w:pPr>
              <w:spacing w:after="0"/>
              <w:rPr>
                <w:sz w:val="20"/>
                <w:szCs w:val="20"/>
                <w:color w:val="auto"/>
              </w:rPr>
            </w:pPr>
          </w:p>
        </w:tc>
      </w:tr>
      <w:tr>
        <w:trPr>
          <w:trHeight w:val="243"/>
        </w:trPr>
        <w:tc>
          <w:tcPr>
            <w:tcW w:w="33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cost of revenues</w:t>
            </w:r>
          </w:p>
        </w:tc>
        <w:tc>
          <w:tcPr>
            <w:tcW w:w="20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34,349</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34,349</w:t>
            </w:r>
          </w:p>
        </w:tc>
        <w:tc>
          <w:tcPr>
            <w:tcW w:w="22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26,661</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98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4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26,661</w:t>
            </w:r>
          </w:p>
        </w:tc>
        <w:tc>
          <w:tcPr>
            <w:tcW w:w="100" w:type="dxa"/>
            <w:vAlign w:val="bottom"/>
          </w:tcPr>
          <w:p>
            <w:pPr>
              <w:spacing w:after="0"/>
              <w:rPr>
                <w:sz w:val="21"/>
                <w:szCs w:val="21"/>
                <w:color w:val="auto"/>
              </w:rPr>
            </w:pPr>
          </w:p>
        </w:tc>
      </w:tr>
      <w:tr>
        <w:trPr>
          <w:trHeight w:val="250"/>
        </w:trPr>
        <w:tc>
          <w:tcPr>
            <w:tcW w:w="33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Gross profit</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81,722</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81,722</w:t>
            </w:r>
          </w:p>
        </w:tc>
        <w:tc>
          <w:tcPr>
            <w:tcW w:w="220" w:type="dxa"/>
            <w:vAlign w:val="bottom"/>
            <w:shd w:val="clear" w:color="auto" w:fill="CFF0FC"/>
          </w:tcPr>
          <w:p>
            <w:pPr>
              <w:spacing w:after="0"/>
              <w:rPr>
                <w:sz w:val="21"/>
                <w:szCs w:val="21"/>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102,801</w:t>
            </w: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102,801</w:t>
            </w:r>
          </w:p>
        </w:tc>
        <w:tc>
          <w:tcPr>
            <w:tcW w:w="100" w:type="dxa"/>
            <w:vAlign w:val="bottom"/>
            <w:shd w:val="clear" w:color="auto" w:fill="CFF0FC"/>
          </w:tcPr>
          <w:p>
            <w:pPr>
              <w:spacing w:after="0"/>
              <w:rPr>
                <w:sz w:val="21"/>
                <w:szCs w:val="21"/>
                <w:color w:val="auto"/>
              </w:rPr>
            </w:pPr>
          </w:p>
        </w:tc>
      </w:tr>
      <w:tr>
        <w:trPr>
          <w:trHeight w:val="243"/>
        </w:trPr>
        <w:tc>
          <w:tcPr>
            <w:tcW w:w="33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operating expenses</w:t>
            </w:r>
          </w:p>
        </w:tc>
        <w:tc>
          <w:tcPr>
            <w:tcW w:w="20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100,182</w:t>
            </w: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414,122</w:t>
            </w: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514,304</w:t>
            </w:r>
          </w:p>
        </w:tc>
        <w:tc>
          <w:tcPr>
            <w:tcW w:w="22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93,725</w:t>
            </w:r>
          </w:p>
        </w:tc>
        <w:tc>
          <w:tcPr>
            <w:tcW w:w="22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34,323</w:t>
            </w:r>
          </w:p>
        </w:tc>
        <w:tc>
          <w:tcPr>
            <w:tcW w:w="220" w:type="dxa"/>
            <w:vAlign w:val="bottom"/>
          </w:tcPr>
          <w:p>
            <w:pPr>
              <w:spacing w:after="0"/>
              <w:rPr>
                <w:sz w:val="21"/>
                <w:szCs w:val="21"/>
                <w:color w:val="auto"/>
              </w:rPr>
            </w:pPr>
          </w:p>
        </w:tc>
        <w:tc>
          <w:tcPr>
            <w:tcW w:w="14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128,048</w:t>
            </w:r>
          </w:p>
        </w:tc>
        <w:tc>
          <w:tcPr>
            <w:tcW w:w="100" w:type="dxa"/>
            <w:vAlign w:val="bottom"/>
          </w:tcPr>
          <w:p>
            <w:pPr>
              <w:spacing w:after="0"/>
              <w:rPr>
                <w:sz w:val="21"/>
                <w:szCs w:val="21"/>
                <w:color w:val="auto"/>
              </w:rPr>
            </w:pPr>
          </w:p>
        </w:tc>
      </w:tr>
      <w:tr>
        <w:trPr>
          <w:trHeight w:val="237"/>
        </w:trPr>
        <w:tc>
          <w:tcPr>
            <w:tcW w:w="33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income from operations</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(18,460 )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6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(414,122 )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(432,582 )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9,076</w:t>
            </w:r>
          </w:p>
        </w:tc>
        <w:tc>
          <w:tcPr>
            <w:tcW w:w="34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(34,323 )</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(25,247 )</w:t>
            </w:r>
          </w:p>
        </w:tc>
      </w:tr>
      <w:tr>
        <w:trPr>
          <w:trHeight w:val="459"/>
        </w:trPr>
        <w:tc>
          <w:tcPr>
            <w:tcW w:w="330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3880" w:type="dxa"/>
            <w:vAlign w:val="bottom"/>
            <w:gridSpan w:val="8"/>
          </w:tcPr>
          <w:p>
            <w:pPr>
              <w:jc w:val="center"/>
              <w:ind w:right="420"/>
              <w:spacing w:after="0"/>
              <w:rPr>
                <w:sz w:val="20"/>
                <w:szCs w:val="20"/>
                <w:color w:val="auto"/>
              </w:rPr>
            </w:pPr>
            <w:r>
              <w:rPr>
                <w:rFonts w:ascii="Times New Roman" w:cs="Times New Roman" w:eastAsia="Times New Roman" w:hAnsi="Times New Roman"/>
                <w:sz w:val="14"/>
                <w:szCs w:val="14"/>
                <w:b w:val="1"/>
                <w:bCs w:val="1"/>
                <w:color w:val="auto"/>
              </w:rPr>
              <w:t>Nine Months Ended September 30, 2024</w:t>
            </w:r>
          </w:p>
        </w:tc>
        <w:tc>
          <w:tcPr>
            <w:tcW w:w="180" w:type="dxa"/>
            <w:vAlign w:val="bottom"/>
          </w:tcPr>
          <w:p>
            <w:pPr>
              <w:spacing w:after="0"/>
              <w:rPr>
                <w:sz w:val="24"/>
                <w:szCs w:val="24"/>
                <w:color w:val="auto"/>
              </w:rPr>
            </w:pPr>
          </w:p>
        </w:tc>
        <w:tc>
          <w:tcPr>
            <w:tcW w:w="3680" w:type="dxa"/>
            <w:vAlign w:val="bottom"/>
            <w:gridSpan w:val="8"/>
          </w:tcPr>
          <w:p>
            <w:pPr>
              <w:jc w:val="center"/>
              <w:ind w:right="280"/>
              <w:spacing w:after="0"/>
              <w:rPr>
                <w:sz w:val="20"/>
                <w:szCs w:val="20"/>
                <w:color w:val="auto"/>
              </w:rPr>
            </w:pPr>
            <w:r>
              <w:rPr>
                <w:rFonts w:ascii="Times New Roman" w:cs="Times New Roman" w:eastAsia="Times New Roman" w:hAnsi="Times New Roman"/>
                <w:sz w:val="14"/>
                <w:szCs w:val="14"/>
                <w:b w:val="1"/>
                <w:bCs w:val="1"/>
                <w:color w:val="auto"/>
              </w:rPr>
              <w:t>Nine Months Ended September 30, 2023</w:t>
            </w:r>
          </w:p>
        </w:tc>
      </w:tr>
      <w:tr>
        <w:trPr>
          <w:trHeight w:val="131"/>
        </w:trPr>
        <w:tc>
          <w:tcPr>
            <w:tcW w:w="3300" w:type="dxa"/>
            <w:vAlign w:val="bottom"/>
          </w:tcPr>
          <w:p>
            <w:pPr>
              <w:spacing w:after="0"/>
              <w:rPr>
                <w:sz w:val="11"/>
                <w:szCs w:val="11"/>
                <w:color w:val="auto"/>
              </w:rPr>
            </w:pPr>
          </w:p>
        </w:tc>
        <w:tc>
          <w:tcPr>
            <w:tcW w:w="200" w:type="dxa"/>
            <w:vAlign w:val="bottom"/>
            <w:tcBorders>
              <w:top w:val="single" w:sz="8" w:color="auto"/>
            </w:tcBorders>
          </w:tcPr>
          <w:p>
            <w:pPr>
              <w:spacing w:after="0"/>
              <w:rPr>
                <w:sz w:val="11"/>
                <w:szCs w:val="11"/>
                <w:color w:val="auto"/>
              </w:rPr>
            </w:pPr>
          </w:p>
        </w:tc>
        <w:tc>
          <w:tcPr>
            <w:tcW w:w="1180" w:type="dxa"/>
            <w:vAlign w:val="bottom"/>
            <w:tcBorders>
              <w:top w:val="single" w:sz="8" w:color="auto"/>
            </w:tcBorders>
            <w:gridSpan w:val="2"/>
          </w:tcPr>
          <w:p>
            <w:pPr>
              <w:jc w:val="center"/>
              <w:ind w:right="480"/>
              <w:spacing w:after="0" w:line="131" w:lineRule="exact"/>
              <w:rPr>
                <w:sz w:val="20"/>
                <w:szCs w:val="20"/>
                <w:color w:val="auto"/>
              </w:rPr>
            </w:pPr>
            <w:r>
              <w:rPr>
                <w:rFonts w:ascii="Times New Roman" w:cs="Times New Roman" w:eastAsia="Times New Roman" w:hAnsi="Times New Roman"/>
                <w:sz w:val="14"/>
                <w:szCs w:val="14"/>
                <w:b w:val="1"/>
                <w:bCs w:val="1"/>
                <w:color w:val="auto"/>
              </w:rPr>
              <w:t>Software</w:t>
            </w:r>
          </w:p>
        </w:tc>
        <w:tc>
          <w:tcPr>
            <w:tcW w:w="120" w:type="dxa"/>
            <w:vAlign w:val="bottom"/>
            <w:tcBorders>
              <w:top w:val="single" w:sz="8" w:color="auto"/>
            </w:tcBorders>
          </w:tcPr>
          <w:p>
            <w:pPr>
              <w:spacing w:after="0"/>
              <w:rPr>
                <w:sz w:val="11"/>
                <w:szCs w:val="11"/>
                <w:color w:val="auto"/>
              </w:rPr>
            </w:pPr>
          </w:p>
        </w:tc>
        <w:tc>
          <w:tcPr>
            <w:tcW w:w="1260" w:type="dxa"/>
            <w:vAlign w:val="bottom"/>
            <w:tcBorders>
              <w:top w:val="single" w:sz="8" w:color="auto"/>
            </w:tcBorders>
            <w:gridSpan w:val="2"/>
          </w:tcPr>
          <w:p>
            <w:pPr>
              <w:jc w:val="center"/>
              <w:ind w:right="400"/>
              <w:spacing w:after="0" w:line="131" w:lineRule="exact"/>
              <w:rPr>
                <w:sz w:val="20"/>
                <w:szCs w:val="20"/>
                <w:color w:val="auto"/>
              </w:rPr>
            </w:pPr>
            <w:r>
              <w:rPr>
                <w:rFonts w:ascii="Times New Roman" w:cs="Times New Roman" w:eastAsia="Times New Roman" w:hAnsi="Times New Roman"/>
                <w:sz w:val="14"/>
                <w:szCs w:val="14"/>
                <w:b w:val="1"/>
                <w:bCs w:val="1"/>
                <w:color w:val="auto"/>
              </w:rPr>
              <w:t>Corporate &amp;</w:t>
            </w:r>
          </w:p>
        </w:tc>
        <w:tc>
          <w:tcPr>
            <w:tcW w:w="120" w:type="dxa"/>
            <w:vAlign w:val="bottom"/>
            <w:tcBorders>
              <w:top w:val="single" w:sz="8" w:color="auto"/>
            </w:tcBorders>
          </w:tcPr>
          <w:p>
            <w:pPr>
              <w:spacing w:after="0"/>
              <w:rPr>
                <w:sz w:val="11"/>
                <w:szCs w:val="11"/>
                <w:color w:val="auto"/>
              </w:rPr>
            </w:pPr>
          </w:p>
        </w:tc>
        <w:tc>
          <w:tcPr>
            <w:tcW w:w="980" w:type="dxa"/>
            <w:vAlign w:val="bottom"/>
            <w:tcBorders>
              <w:top w:val="single" w:sz="8" w:color="auto"/>
            </w:tcBorders>
          </w:tcPr>
          <w:p>
            <w:pPr>
              <w:jc w:val="center"/>
              <w:ind w:right="75"/>
              <w:spacing w:after="0" w:line="131" w:lineRule="exact"/>
              <w:rPr>
                <w:sz w:val="20"/>
                <w:szCs w:val="20"/>
                <w:color w:val="auto"/>
              </w:rPr>
            </w:pPr>
            <w:r>
              <w:rPr>
                <w:rFonts w:ascii="Times New Roman" w:cs="Times New Roman" w:eastAsia="Times New Roman" w:hAnsi="Times New Roman"/>
                <w:sz w:val="14"/>
                <w:szCs w:val="14"/>
                <w:b w:val="1"/>
                <w:bCs w:val="1"/>
                <w:color w:val="auto"/>
                <w:w w:val="93"/>
              </w:rPr>
              <w:t>Total</w:t>
            </w:r>
          </w:p>
        </w:tc>
        <w:tc>
          <w:tcPr>
            <w:tcW w:w="220" w:type="dxa"/>
            <w:vAlign w:val="bottom"/>
          </w:tcPr>
          <w:p>
            <w:pPr>
              <w:spacing w:after="0"/>
              <w:rPr>
                <w:sz w:val="11"/>
                <w:szCs w:val="11"/>
                <w:color w:val="auto"/>
              </w:rPr>
            </w:pPr>
          </w:p>
        </w:tc>
        <w:tc>
          <w:tcPr>
            <w:tcW w:w="180" w:type="dxa"/>
            <w:vAlign w:val="bottom"/>
            <w:tcBorders>
              <w:top w:val="single" w:sz="8" w:color="auto"/>
            </w:tcBorders>
          </w:tcPr>
          <w:p>
            <w:pPr>
              <w:spacing w:after="0"/>
              <w:rPr>
                <w:sz w:val="11"/>
                <w:szCs w:val="11"/>
                <w:color w:val="auto"/>
              </w:rPr>
            </w:pPr>
          </w:p>
        </w:tc>
        <w:tc>
          <w:tcPr>
            <w:tcW w:w="920" w:type="dxa"/>
            <w:vAlign w:val="bottom"/>
            <w:tcBorders>
              <w:top w:val="single" w:sz="8" w:color="auto"/>
            </w:tcBorders>
          </w:tcPr>
          <w:p>
            <w:pPr>
              <w:jc w:val="center"/>
              <w:ind w:right="137"/>
              <w:spacing w:after="0" w:line="131" w:lineRule="exact"/>
              <w:rPr>
                <w:sz w:val="20"/>
                <w:szCs w:val="20"/>
                <w:color w:val="auto"/>
              </w:rPr>
            </w:pPr>
            <w:r>
              <w:rPr>
                <w:rFonts w:ascii="Times New Roman" w:cs="Times New Roman" w:eastAsia="Times New Roman" w:hAnsi="Times New Roman"/>
                <w:sz w:val="14"/>
                <w:szCs w:val="14"/>
                <w:b w:val="1"/>
                <w:bCs w:val="1"/>
                <w:color w:val="auto"/>
              </w:rPr>
              <w:t>Software</w:t>
            </w:r>
          </w:p>
        </w:tc>
        <w:tc>
          <w:tcPr>
            <w:tcW w:w="220" w:type="dxa"/>
            <w:vAlign w:val="bottom"/>
            <w:tcBorders>
              <w:top w:val="single" w:sz="8" w:color="auto"/>
            </w:tcBorders>
          </w:tcPr>
          <w:p>
            <w:pPr>
              <w:spacing w:after="0"/>
              <w:rPr>
                <w:sz w:val="11"/>
                <w:szCs w:val="11"/>
                <w:color w:val="auto"/>
              </w:rPr>
            </w:pPr>
          </w:p>
        </w:tc>
        <w:tc>
          <w:tcPr>
            <w:tcW w:w="120" w:type="dxa"/>
            <w:vAlign w:val="bottom"/>
            <w:tcBorders>
              <w:top w:val="single" w:sz="8" w:color="auto"/>
            </w:tcBorders>
          </w:tcPr>
          <w:p>
            <w:pPr>
              <w:spacing w:after="0"/>
              <w:rPr>
                <w:sz w:val="11"/>
                <w:szCs w:val="11"/>
                <w:color w:val="auto"/>
              </w:rPr>
            </w:pPr>
          </w:p>
        </w:tc>
        <w:tc>
          <w:tcPr>
            <w:tcW w:w="1200" w:type="dxa"/>
            <w:vAlign w:val="bottom"/>
            <w:tcBorders>
              <w:top w:val="single" w:sz="8" w:color="auto"/>
            </w:tcBorders>
            <w:gridSpan w:val="2"/>
          </w:tcPr>
          <w:p>
            <w:pPr>
              <w:jc w:val="center"/>
              <w:ind w:right="360"/>
              <w:spacing w:after="0" w:line="131" w:lineRule="exact"/>
              <w:rPr>
                <w:sz w:val="20"/>
                <w:szCs w:val="20"/>
                <w:color w:val="auto"/>
              </w:rPr>
            </w:pPr>
            <w:r>
              <w:rPr>
                <w:rFonts w:ascii="Times New Roman" w:cs="Times New Roman" w:eastAsia="Times New Roman" w:hAnsi="Times New Roman"/>
                <w:sz w:val="14"/>
                <w:szCs w:val="14"/>
                <w:b w:val="1"/>
                <w:bCs w:val="1"/>
                <w:color w:val="auto"/>
              </w:rPr>
              <w:t>Corporate &amp;</w:t>
            </w:r>
          </w:p>
        </w:tc>
        <w:tc>
          <w:tcPr>
            <w:tcW w:w="140" w:type="dxa"/>
            <w:vAlign w:val="bottom"/>
            <w:tcBorders>
              <w:top w:val="single" w:sz="8" w:color="auto"/>
            </w:tcBorders>
          </w:tcPr>
          <w:p>
            <w:pPr>
              <w:spacing w:after="0"/>
              <w:rPr>
                <w:sz w:val="11"/>
                <w:szCs w:val="11"/>
                <w:color w:val="auto"/>
              </w:rPr>
            </w:pPr>
          </w:p>
        </w:tc>
        <w:tc>
          <w:tcPr>
            <w:tcW w:w="980" w:type="dxa"/>
            <w:vAlign w:val="bottom"/>
            <w:tcBorders>
              <w:top w:val="single" w:sz="8" w:color="auto"/>
            </w:tcBorders>
          </w:tcPr>
          <w:p>
            <w:pPr>
              <w:jc w:val="center"/>
              <w:ind w:right="95"/>
              <w:spacing w:after="0" w:line="131" w:lineRule="exact"/>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tcPr>
          <w:p>
            <w:pPr>
              <w:spacing w:after="0"/>
              <w:rPr>
                <w:sz w:val="11"/>
                <w:szCs w:val="11"/>
                <w:color w:val="auto"/>
              </w:rPr>
            </w:pPr>
          </w:p>
        </w:tc>
      </w:tr>
      <w:tr>
        <w:trPr>
          <w:trHeight w:val="187"/>
        </w:trPr>
        <w:tc>
          <w:tcPr>
            <w:tcW w:w="33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1180" w:type="dxa"/>
            <w:vAlign w:val="bottom"/>
            <w:gridSpan w:val="2"/>
          </w:tcPr>
          <w:p>
            <w:pPr>
              <w:jc w:val="center"/>
              <w:ind w:right="440"/>
              <w:spacing w:after="0"/>
              <w:rPr>
                <w:sz w:val="20"/>
                <w:szCs w:val="20"/>
                <w:color w:val="auto"/>
              </w:rPr>
            </w:pPr>
            <w:r>
              <w:rPr>
                <w:rFonts w:ascii="Times New Roman" w:cs="Times New Roman" w:eastAsia="Times New Roman" w:hAnsi="Times New Roman"/>
                <w:sz w:val="14"/>
                <w:szCs w:val="14"/>
                <w:b w:val="1"/>
                <w:bCs w:val="1"/>
                <w:color w:val="auto"/>
              </w:rPr>
              <w:t>Business</w:t>
            </w:r>
          </w:p>
        </w:tc>
        <w:tc>
          <w:tcPr>
            <w:tcW w:w="120" w:type="dxa"/>
            <w:vAlign w:val="bottom"/>
          </w:tcPr>
          <w:p>
            <w:pPr>
              <w:spacing w:after="0"/>
              <w:rPr>
                <w:sz w:val="16"/>
                <w:szCs w:val="16"/>
                <w:color w:val="auto"/>
              </w:rPr>
            </w:pPr>
          </w:p>
        </w:tc>
        <w:tc>
          <w:tcPr>
            <w:tcW w:w="1260" w:type="dxa"/>
            <w:vAlign w:val="bottom"/>
            <w:gridSpan w:val="2"/>
          </w:tcPr>
          <w:p>
            <w:pPr>
              <w:jc w:val="center"/>
              <w:ind w:right="380"/>
              <w:spacing w:after="0"/>
              <w:rPr>
                <w:sz w:val="20"/>
                <w:szCs w:val="20"/>
                <w:color w:val="auto"/>
              </w:rPr>
            </w:pPr>
            <w:r>
              <w:rPr>
                <w:rFonts w:ascii="Times New Roman" w:cs="Times New Roman" w:eastAsia="Times New Roman" w:hAnsi="Times New Roman"/>
                <w:sz w:val="14"/>
                <w:szCs w:val="14"/>
                <w:b w:val="1"/>
                <w:bCs w:val="1"/>
                <w:color w:val="auto"/>
              </w:rPr>
              <w:t>Other</w:t>
            </w:r>
          </w:p>
        </w:tc>
        <w:tc>
          <w:tcPr>
            <w:tcW w:w="120" w:type="dxa"/>
            <w:vAlign w:val="bottom"/>
          </w:tcPr>
          <w:p>
            <w:pPr>
              <w:spacing w:after="0"/>
              <w:rPr>
                <w:sz w:val="16"/>
                <w:szCs w:val="16"/>
                <w:color w:val="auto"/>
              </w:rPr>
            </w:pPr>
          </w:p>
        </w:tc>
        <w:tc>
          <w:tcPr>
            <w:tcW w:w="1200" w:type="dxa"/>
            <w:vAlign w:val="bottom"/>
            <w:gridSpan w:val="2"/>
          </w:tcPr>
          <w:p>
            <w:pPr>
              <w:jc w:val="center"/>
              <w:ind w:right="340"/>
              <w:spacing w:after="0"/>
              <w:rPr>
                <w:sz w:val="20"/>
                <w:szCs w:val="20"/>
                <w:color w:val="auto"/>
              </w:rPr>
            </w:pPr>
            <w:r>
              <w:rPr>
                <w:rFonts w:ascii="Times New Roman" w:cs="Times New Roman" w:eastAsia="Times New Roman" w:hAnsi="Times New Roman"/>
                <w:sz w:val="14"/>
                <w:szCs w:val="14"/>
                <w:b w:val="1"/>
                <w:bCs w:val="1"/>
                <w:color w:val="auto"/>
              </w:rPr>
              <w:t>Consolidated</w:t>
            </w:r>
          </w:p>
        </w:tc>
        <w:tc>
          <w:tcPr>
            <w:tcW w:w="180" w:type="dxa"/>
            <w:vAlign w:val="bottom"/>
          </w:tcPr>
          <w:p>
            <w:pPr>
              <w:spacing w:after="0"/>
              <w:rPr>
                <w:sz w:val="16"/>
                <w:szCs w:val="16"/>
                <w:color w:val="auto"/>
              </w:rPr>
            </w:pPr>
          </w:p>
        </w:tc>
        <w:tc>
          <w:tcPr>
            <w:tcW w:w="920" w:type="dxa"/>
            <w:vAlign w:val="bottom"/>
          </w:tcPr>
          <w:p>
            <w:pPr>
              <w:jc w:val="center"/>
              <w:ind w:right="97"/>
              <w:spacing w:after="0"/>
              <w:rPr>
                <w:sz w:val="20"/>
                <w:szCs w:val="20"/>
                <w:color w:val="auto"/>
              </w:rPr>
            </w:pPr>
            <w:r>
              <w:rPr>
                <w:rFonts w:ascii="Times New Roman" w:cs="Times New Roman" w:eastAsia="Times New Roman" w:hAnsi="Times New Roman"/>
                <w:sz w:val="14"/>
                <w:szCs w:val="14"/>
                <w:b w:val="1"/>
                <w:bCs w:val="1"/>
                <w:color w:val="auto"/>
              </w:rPr>
              <w:t>Business</w:t>
            </w:r>
          </w:p>
        </w:tc>
        <w:tc>
          <w:tcPr>
            <w:tcW w:w="22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1200" w:type="dxa"/>
            <w:vAlign w:val="bottom"/>
            <w:gridSpan w:val="2"/>
          </w:tcPr>
          <w:p>
            <w:pPr>
              <w:jc w:val="center"/>
              <w:ind w:right="320"/>
              <w:spacing w:after="0"/>
              <w:rPr>
                <w:sz w:val="20"/>
                <w:szCs w:val="20"/>
                <w:color w:val="auto"/>
              </w:rPr>
            </w:pPr>
            <w:r>
              <w:rPr>
                <w:rFonts w:ascii="Times New Roman" w:cs="Times New Roman" w:eastAsia="Times New Roman" w:hAnsi="Times New Roman"/>
                <w:sz w:val="14"/>
                <w:szCs w:val="14"/>
                <w:b w:val="1"/>
                <w:bCs w:val="1"/>
                <w:color w:val="auto"/>
              </w:rPr>
              <w:t>Other</w:t>
            </w:r>
          </w:p>
        </w:tc>
        <w:tc>
          <w:tcPr>
            <w:tcW w:w="140" w:type="dxa"/>
            <w:vAlign w:val="bottom"/>
          </w:tcPr>
          <w:p>
            <w:pPr>
              <w:spacing w:after="0"/>
              <w:rPr>
                <w:sz w:val="16"/>
                <w:szCs w:val="16"/>
                <w:color w:val="auto"/>
              </w:rPr>
            </w:pPr>
          </w:p>
        </w:tc>
        <w:tc>
          <w:tcPr>
            <w:tcW w:w="1080" w:type="dxa"/>
            <w:vAlign w:val="bottom"/>
            <w:gridSpan w:val="2"/>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Consolidated</w:t>
            </w:r>
          </w:p>
        </w:tc>
      </w:tr>
      <w:tr>
        <w:trPr>
          <w:trHeight w:val="237"/>
        </w:trPr>
        <w:tc>
          <w:tcPr>
            <w:tcW w:w="33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342,759</w:t>
            </w:r>
          </w:p>
        </w:tc>
        <w:tc>
          <w:tcPr>
            <w:tcW w:w="240" w:type="dxa"/>
            <w:vAlign w:val="bottom"/>
            <w:shd w:val="clear" w:color="auto" w:fill="CFF0FC"/>
          </w:tcPr>
          <w:p>
            <w:pPr>
              <w:spacing w:after="0"/>
              <w:rPr>
                <w:sz w:val="20"/>
                <w:szCs w:val="20"/>
                <w:color w:val="auto"/>
              </w:rPr>
            </w:pPr>
          </w:p>
        </w:tc>
        <w:tc>
          <w:tcPr>
            <w:tcW w:w="120" w:type="dxa"/>
            <w:vAlign w:val="bottom"/>
            <w:tcBorders>
              <w:top w:val="single" w:sz="8" w:color="auto"/>
            </w:tcBorders>
            <w:shd w:val="clear" w:color="auto" w:fill="CFF0FC"/>
          </w:tcPr>
          <w:p>
            <w:pPr>
              <w:spacing w:after="0"/>
              <w:rPr>
                <w:sz w:val="20"/>
                <w:szCs w:val="20"/>
                <w:color w:val="auto"/>
              </w:rPr>
            </w:pPr>
          </w:p>
        </w:tc>
        <w:tc>
          <w:tcPr>
            <w:tcW w:w="102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2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342,759</w:t>
            </w:r>
          </w:p>
        </w:tc>
        <w:tc>
          <w:tcPr>
            <w:tcW w:w="220" w:type="dxa"/>
            <w:vAlign w:val="bottom"/>
            <w:shd w:val="clear" w:color="auto" w:fill="CFF0FC"/>
          </w:tcPr>
          <w:p>
            <w:pPr>
              <w:spacing w:after="0"/>
              <w:rPr>
                <w:sz w:val="20"/>
                <w:szCs w:val="20"/>
                <w:color w:val="auto"/>
              </w:rPr>
            </w:pPr>
          </w:p>
        </w:tc>
        <w:tc>
          <w:tcPr>
            <w:tcW w:w="1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371,777</w:t>
            </w:r>
          </w:p>
        </w:tc>
        <w:tc>
          <w:tcPr>
            <w:tcW w:w="220" w:type="dxa"/>
            <w:vAlign w:val="bottom"/>
            <w:shd w:val="clear" w:color="auto" w:fill="CFF0FC"/>
          </w:tcPr>
          <w:p>
            <w:pPr>
              <w:spacing w:after="0"/>
              <w:rPr>
                <w:sz w:val="20"/>
                <w:szCs w:val="20"/>
                <w:color w:val="auto"/>
              </w:rPr>
            </w:pPr>
          </w:p>
        </w:tc>
        <w:tc>
          <w:tcPr>
            <w:tcW w:w="120" w:type="dxa"/>
            <w:vAlign w:val="bottom"/>
            <w:tcBorders>
              <w:top w:val="single" w:sz="8" w:color="auto"/>
            </w:tcBorders>
            <w:shd w:val="clear" w:color="auto" w:fill="CFF0FC"/>
          </w:tcPr>
          <w:p>
            <w:pPr>
              <w:spacing w:after="0"/>
              <w:rPr>
                <w:sz w:val="20"/>
                <w:szCs w:val="20"/>
                <w:color w:val="auto"/>
              </w:rPr>
            </w:pPr>
          </w:p>
        </w:tc>
        <w:tc>
          <w:tcPr>
            <w:tcW w:w="98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371,777</w:t>
            </w:r>
          </w:p>
        </w:tc>
        <w:tc>
          <w:tcPr>
            <w:tcW w:w="100" w:type="dxa"/>
            <w:vAlign w:val="bottom"/>
            <w:shd w:val="clear" w:color="auto" w:fill="CFF0FC"/>
          </w:tcPr>
          <w:p>
            <w:pPr>
              <w:spacing w:after="0"/>
              <w:rPr>
                <w:sz w:val="20"/>
                <w:szCs w:val="20"/>
                <w:color w:val="auto"/>
              </w:rPr>
            </w:pPr>
          </w:p>
        </w:tc>
      </w:tr>
      <w:tr>
        <w:trPr>
          <w:trHeight w:val="243"/>
        </w:trPr>
        <w:tc>
          <w:tcPr>
            <w:tcW w:w="33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cost of revenues</w:t>
            </w:r>
          </w:p>
        </w:tc>
        <w:tc>
          <w:tcPr>
            <w:tcW w:w="20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95,299</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95,299</w:t>
            </w:r>
          </w:p>
        </w:tc>
        <w:tc>
          <w:tcPr>
            <w:tcW w:w="22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81,723</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98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4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81,723</w:t>
            </w:r>
          </w:p>
        </w:tc>
        <w:tc>
          <w:tcPr>
            <w:tcW w:w="100" w:type="dxa"/>
            <w:vAlign w:val="bottom"/>
          </w:tcPr>
          <w:p>
            <w:pPr>
              <w:spacing w:after="0"/>
              <w:rPr>
                <w:sz w:val="21"/>
                <w:szCs w:val="21"/>
                <w:color w:val="auto"/>
              </w:rPr>
            </w:pPr>
          </w:p>
        </w:tc>
      </w:tr>
      <w:tr>
        <w:trPr>
          <w:trHeight w:val="250"/>
        </w:trPr>
        <w:tc>
          <w:tcPr>
            <w:tcW w:w="33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Gross profit</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247,460</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247,460</w:t>
            </w:r>
          </w:p>
        </w:tc>
        <w:tc>
          <w:tcPr>
            <w:tcW w:w="220" w:type="dxa"/>
            <w:vAlign w:val="bottom"/>
            <w:shd w:val="clear" w:color="auto" w:fill="CFF0FC"/>
          </w:tcPr>
          <w:p>
            <w:pPr>
              <w:spacing w:after="0"/>
              <w:rPr>
                <w:sz w:val="21"/>
                <w:szCs w:val="21"/>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290,054</w:t>
            </w: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290,054</w:t>
            </w:r>
          </w:p>
        </w:tc>
        <w:tc>
          <w:tcPr>
            <w:tcW w:w="100" w:type="dxa"/>
            <w:vAlign w:val="bottom"/>
            <w:shd w:val="clear" w:color="auto" w:fill="CFF0FC"/>
          </w:tcPr>
          <w:p>
            <w:pPr>
              <w:spacing w:after="0"/>
              <w:rPr>
                <w:sz w:val="21"/>
                <w:szCs w:val="21"/>
                <w:color w:val="auto"/>
              </w:rPr>
            </w:pPr>
          </w:p>
        </w:tc>
      </w:tr>
      <w:tr>
        <w:trPr>
          <w:trHeight w:val="243"/>
        </w:trPr>
        <w:tc>
          <w:tcPr>
            <w:tcW w:w="33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operating expenses</w:t>
            </w:r>
          </w:p>
        </w:tc>
        <w:tc>
          <w:tcPr>
            <w:tcW w:w="20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295,541</w:t>
            </w: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788,477</w:t>
            </w: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1,084,018</w:t>
            </w:r>
          </w:p>
        </w:tc>
        <w:tc>
          <w:tcPr>
            <w:tcW w:w="22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283,733</w:t>
            </w:r>
          </w:p>
        </w:tc>
        <w:tc>
          <w:tcPr>
            <w:tcW w:w="22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78,583</w:t>
            </w:r>
          </w:p>
        </w:tc>
        <w:tc>
          <w:tcPr>
            <w:tcW w:w="220" w:type="dxa"/>
            <w:vAlign w:val="bottom"/>
          </w:tcPr>
          <w:p>
            <w:pPr>
              <w:spacing w:after="0"/>
              <w:rPr>
                <w:sz w:val="21"/>
                <w:szCs w:val="21"/>
                <w:color w:val="auto"/>
              </w:rPr>
            </w:pPr>
          </w:p>
        </w:tc>
        <w:tc>
          <w:tcPr>
            <w:tcW w:w="14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362,316</w:t>
            </w:r>
          </w:p>
        </w:tc>
        <w:tc>
          <w:tcPr>
            <w:tcW w:w="100" w:type="dxa"/>
            <w:vAlign w:val="bottom"/>
          </w:tcPr>
          <w:p>
            <w:pPr>
              <w:spacing w:after="0"/>
              <w:rPr>
                <w:sz w:val="21"/>
                <w:szCs w:val="21"/>
                <w:color w:val="auto"/>
              </w:rPr>
            </w:pPr>
          </w:p>
        </w:tc>
      </w:tr>
      <w:tr>
        <w:trPr>
          <w:trHeight w:val="237"/>
        </w:trPr>
        <w:tc>
          <w:tcPr>
            <w:tcW w:w="33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income from operations</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(48,081 )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6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(788,477 )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(836,558 )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6,321</w:t>
            </w:r>
          </w:p>
        </w:tc>
        <w:tc>
          <w:tcPr>
            <w:tcW w:w="34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(78,583 )</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(72,262 )</w:t>
            </w:r>
          </w:p>
        </w:tc>
      </w:tr>
    </w:tbl>
    <w:p>
      <w:pPr>
        <w:spacing w:after="0" w:line="19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MicroStrategy manages its business in one reportable operating segment which is engaged in the design, development, marketing, and sales of its software platform through licensing arrangements and cloud subscriptions and related services. Beginning in 2024, MicroStrategy has broken out a Corporate &amp; Other category, which is not considered an operating segment, and includes the impairment charges and other third-party costs associated with its digital asset holdings.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610235</wp:posOffset>
            </wp:positionV>
            <wp:extent cx="7157720" cy="4254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7" w:name="page18"/>
    <w:bookmarkEnd w:id="17"/>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2EB141F2"/>
    <w:multiLevelType w:val="hybridMultilevel"/>
    <w:lvl w:ilvl="0">
      <w:lvlJc w:val="left"/>
      <w:lvlText w:val="☐"/>
      <w:numFmt w:val="bullet"/>
      <w:start w:val="1"/>
    </w:lvl>
  </w:abstractNum>
  <w:abstractNum w:abstractNumId="1">
    <w:nsid w:val="41B71EFB"/>
    <w:multiLevelType w:val="hybridMultilevel"/>
    <w:lvl w:ilvl="0">
      <w:lvlJc w:val="left"/>
      <w:lvlText w:val="(%1)"/>
      <w:numFmt w:val="lowerLetter"/>
      <w:start w:val="4"/>
    </w:lvl>
  </w:abstractNum>
  <w:abstractNum w:abstractNumId="2">
    <w:nsid w:val="79E2A9E3"/>
    <w:multiLevelType w:val="hybridMultilevel"/>
    <w:lvl w:ilvl="0">
      <w:lvlJc w:val="left"/>
      <w:lvlText w:val="•"/>
      <w:numFmt w:val="bullet"/>
      <w:start w:val="1"/>
    </w:lvl>
  </w:abstractNum>
  <w:abstractNum w:abstractNumId="3">
    <w:nsid w:val="7545E146"/>
    <w:multiLevelType w:val="hybridMultilevel"/>
    <w:lvl w:ilvl="0">
      <w:lvlJc w:val="left"/>
      <w:lvlText w:val="•"/>
      <w:numFmt w:val="bullet"/>
      <w:start w:val="1"/>
    </w:lvl>
  </w:abstractNum>
  <w:abstractNum w:abstractNumId="4">
    <w:nsid w:val="515F007C"/>
    <w:multiLevelType w:val="hybridMultilevel"/>
    <w:lvl w:ilvl="0">
      <w:lvlJc w:val="left"/>
      <w:lvlText w:val="•"/>
      <w:numFmt w:val="bullet"/>
      <w:start w:val="1"/>
    </w:lvl>
  </w:abstractNum>
  <w:abstractNum w:abstractNumId="5">
    <w:nsid w:val="5BD062C2"/>
    <w:multiLevelType w:val="hybridMultilevel"/>
    <w:lvl w:ilvl="0">
      <w:lvlJc w:val="left"/>
      <w:lvlText w:val="•"/>
      <w:numFmt w:val="bullet"/>
      <w:start w:val="1"/>
    </w:lvl>
  </w:abstractNum>
  <w:abstractNum w:abstractNumId="6">
    <w:nsid w:val="12200854"/>
    <w:multiLevelType w:val="hybridMultilevel"/>
    <w:lvl w:ilvl="0">
      <w:lvlJc w:val="left"/>
      <w:lvlText w:val="•"/>
      <w:numFmt w:val="bullet"/>
      <w:start w:val="1"/>
    </w:lvl>
    <w:lvl w:ilvl="1">
      <w:lvlJc w:val="left"/>
      <w:lvlText w:val="o"/>
      <w:numFmt w:val="bullet"/>
      <w:start w:val="1"/>
    </w:lvl>
  </w:abstractNum>
  <w:abstractNum w:abstractNumId="7">
    <w:nsid w:val="4DB127F8"/>
    <w:multiLevelType w:val="hybridMultilevel"/>
    <w:lvl w:ilvl="0">
      <w:lvlJc w:val="left"/>
      <w:lvlText w:val="•"/>
      <w:numFmt w:val="bullet"/>
      <w:start w:val="1"/>
    </w:lvl>
  </w:abstractNum>
  <w:abstractNum w:abstractNumId="8">
    <w:nsid w:val="216231B"/>
    <w:multiLevelType w:val="hybridMultilevel"/>
    <w:lvl w:ilvl="0">
      <w:lvlJc w:val="left"/>
      <w:lvlText w:val="*"/>
      <w:numFmt w:val="bullet"/>
      <w:start w:val="1"/>
    </w:lvl>
    <w:lvl w:ilvl="1">
      <w:lvlJc w:val="left"/>
      <w:lvlText w:val="(%2)"/>
      <w:numFmt w:val="lowerLetter"/>
      <w:start w:val="1"/>
    </w:lvl>
  </w:abstractNum>
  <w:abstractNum w:abstractNumId="9">
    <w:nsid w:val="1F16E9E8"/>
    <w:multiLevelType w:val="hybridMultilevel"/>
    <w:lvl w:ilvl="0">
      <w:lvlJc w:val="left"/>
      <w:lvlText w:val="*"/>
      <w:numFmt w:val="bullet"/>
      <w:start w:val="1"/>
    </w:lvl>
    <w:lvl w:ilvl="1">
      <w:lvlJc w:val="left"/>
      <w:lvlText w:val="(%2)"/>
      <w:numFmt w:val="lowerLetter"/>
      <w:start w:val="1"/>
    </w:lvl>
  </w:abstractNum>
  <w:abstractNum w:abstractNumId="10">
    <w:nsid w:val="1190CDE7"/>
    <w:multiLevelType w:val="hybridMultilevel"/>
    <w:lvl w:ilvl="0">
      <w:lvlJc w:val="left"/>
      <w:lvlText w:val="(%1)"/>
      <w:numFmt w:val="decimal"/>
      <w:start w:val="1"/>
    </w:lvl>
  </w:abstractNum>
  <w:abstractNum w:abstractNumId="11">
    <w:nsid w:val="66EF438D"/>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2024-10-30T15:18:21Z</dcterms:created>
  <dcterms:modified xsi:type="dcterms:W3CDTF">2024-10-30T15:18:21Z</dcterms:modified>
</cp:coreProperties>
</file>